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DDB0F" w14:textId="77777777" w:rsidR="00397E87" w:rsidRPr="00A3176F" w:rsidRDefault="00397E87" w:rsidP="002703FB">
      <w:pPr>
        <w:jc w:val="center"/>
        <w:rPr>
          <w:rFonts w:ascii="Times New Roman" w:hAnsi="Times New Roman" w:cs="Times New Roman"/>
          <w:b/>
          <w:color w:val="262626"/>
        </w:rPr>
      </w:pPr>
      <w:r w:rsidRPr="00A3176F">
        <w:rPr>
          <w:rFonts w:ascii="Times New Roman" w:hAnsi="Times New Roman" w:cs="Times New Roman"/>
          <w:b/>
          <w:color w:val="262626"/>
        </w:rPr>
        <w:t>DRAFT</w:t>
      </w:r>
    </w:p>
    <w:p w14:paraId="0EE47748" w14:textId="77777777" w:rsidR="00397E87" w:rsidRPr="00A3176F" w:rsidRDefault="00397E87" w:rsidP="002703FB">
      <w:pPr>
        <w:jc w:val="center"/>
        <w:rPr>
          <w:rFonts w:ascii="Times New Roman" w:hAnsi="Times New Roman" w:cs="Times New Roman"/>
          <w:b/>
          <w:color w:val="262626"/>
        </w:rPr>
      </w:pPr>
    </w:p>
    <w:p w14:paraId="5F9A47DE" w14:textId="4D01CC3A" w:rsidR="00E17F49" w:rsidRPr="00A3176F" w:rsidRDefault="00E17F49" w:rsidP="00E17F49">
      <w:pPr>
        <w:jc w:val="center"/>
        <w:rPr>
          <w:rFonts w:ascii="Times New Roman" w:hAnsi="Times New Roman" w:cs="Times New Roman"/>
          <w:b/>
          <w:color w:val="262626"/>
        </w:rPr>
      </w:pPr>
      <w:r w:rsidRPr="00A3176F">
        <w:rPr>
          <w:rFonts w:ascii="Times New Roman" w:hAnsi="Times New Roman" w:cs="Times New Roman"/>
          <w:b/>
          <w:color w:val="262626"/>
        </w:rPr>
        <w:t xml:space="preserve">We are all </w:t>
      </w:r>
      <w:r w:rsidR="006D4E27">
        <w:rPr>
          <w:rFonts w:ascii="Times New Roman" w:hAnsi="Times New Roman" w:cs="Times New Roman"/>
          <w:b/>
          <w:color w:val="262626"/>
        </w:rPr>
        <w:t>‘</w:t>
      </w:r>
      <w:r w:rsidRPr="00A3176F">
        <w:rPr>
          <w:rFonts w:ascii="Times New Roman" w:hAnsi="Times New Roman" w:cs="Times New Roman"/>
          <w:b/>
          <w:color w:val="262626"/>
        </w:rPr>
        <w:t>sick chickens</w:t>
      </w:r>
      <w:r w:rsidR="006D4E27">
        <w:rPr>
          <w:rFonts w:ascii="Times New Roman" w:hAnsi="Times New Roman" w:cs="Times New Roman"/>
          <w:b/>
          <w:color w:val="262626"/>
        </w:rPr>
        <w:t>’</w:t>
      </w:r>
      <w:bookmarkStart w:id="0" w:name="_GoBack"/>
      <w:bookmarkEnd w:id="0"/>
      <w:r w:rsidRPr="00A3176F">
        <w:rPr>
          <w:rFonts w:ascii="Times New Roman" w:hAnsi="Times New Roman" w:cs="Times New Roman"/>
          <w:b/>
          <w:color w:val="262626"/>
        </w:rPr>
        <w:t xml:space="preserve"> now</w:t>
      </w:r>
      <w:r>
        <w:rPr>
          <w:rFonts w:ascii="Times New Roman" w:hAnsi="Times New Roman" w:cs="Times New Roman"/>
          <w:b/>
          <w:color w:val="262626"/>
        </w:rPr>
        <w:t xml:space="preserve"> - </w:t>
      </w:r>
    </w:p>
    <w:p w14:paraId="5888F0F4" w14:textId="2D813723" w:rsidR="00E17F49" w:rsidRDefault="00E17F49" w:rsidP="002703FB">
      <w:pPr>
        <w:jc w:val="center"/>
        <w:rPr>
          <w:rFonts w:ascii="Times New Roman" w:hAnsi="Times New Roman" w:cs="Times New Roman"/>
          <w:b/>
          <w:color w:val="262626"/>
        </w:rPr>
      </w:pPr>
      <w:r>
        <w:rPr>
          <w:rFonts w:ascii="Times New Roman" w:hAnsi="Times New Roman" w:cs="Times New Roman"/>
          <w:b/>
          <w:color w:val="262626"/>
        </w:rPr>
        <w:t>From National Labor Relations Act to Transnational Labor Relations Act</w:t>
      </w:r>
    </w:p>
    <w:p w14:paraId="0140C990" w14:textId="77777777" w:rsidR="00E17F49" w:rsidRDefault="00E17F49" w:rsidP="002703FB">
      <w:pPr>
        <w:jc w:val="center"/>
        <w:rPr>
          <w:rFonts w:ascii="Times New Roman" w:hAnsi="Times New Roman" w:cs="Times New Roman"/>
          <w:b/>
          <w:color w:val="262626"/>
        </w:rPr>
      </w:pPr>
    </w:p>
    <w:p w14:paraId="512CF86E" w14:textId="45437A93" w:rsidR="00E17F49" w:rsidRDefault="00E17F49" w:rsidP="002703FB">
      <w:pPr>
        <w:jc w:val="center"/>
        <w:rPr>
          <w:rFonts w:ascii="Times New Roman" w:hAnsi="Times New Roman" w:cs="Times New Roman"/>
          <w:b/>
          <w:color w:val="262626"/>
        </w:rPr>
      </w:pPr>
      <w:r>
        <w:rPr>
          <w:rFonts w:ascii="Times New Roman" w:hAnsi="Times New Roman" w:cs="Times New Roman"/>
          <w:b/>
          <w:color w:val="262626"/>
        </w:rPr>
        <w:t>By</w:t>
      </w:r>
    </w:p>
    <w:p w14:paraId="03E3CD6F" w14:textId="77777777" w:rsidR="003037C4" w:rsidRPr="00A3176F" w:rsidRDefault="003037C4" w:rsidP="002703FB">
      <w:pPr>
        <w:jc w:val="center"/>
        <w:rPr>
          <w:rFonts w:ascii="Times New Roman" w:hAnsi="Times New Roman" w:cs="Times New Roman"/>
          <w:b/>
          <w:color w:val="262626"/>
        </w:rPr>
      </w:pPr>
    </w:p>
    <w:p w14:paraId="554CD518" w14:textId="7EDE03A5" w:rsidR="003037C4" w:rsidRPr="00A3176F" w:rsidRDefault="003037C4" w:rsidP="002703FB">
      <w:pPr>
        <w:jc w:val="center"/>
        <w:rPr>
          <w:rFonts w:ascii="Times New Roman" w:hAnsi="Times New Roman" w:cs="Times New Roman"/>
          <w:b/>
          <w:color w:val="262626"/>
        </w:rPr>
      </w:pPr>
      <w:r w:rsidRPr="00A3176F">
        <w:rPr>
          <w:rFonts w:ascii="Times New Roman" w:hAnsi="Times New Roman" w:cs="Times New Roman"/>
          <w:b/>
          <w:color w:val="262626"/>
        </w:rPr>
        <w:t>K D Ewing</w:t>
      </w:r>
    </w:p>
    <w:p w14:paraId="7F97D547" w14:textId="093C9156" w:rsidR="003037C4" w:rsidRPr="00A3176F" w:rsidRDefault="003037C4" w:rsidP="002703FB">
      <w:pPr>
        <w:jc w:val="center"/>
        <w:rPr>
          <w:rFonts w:ascii="Times New Roman" w:hAnsi="Times New Roman" w:cs="Times New Roman"/>
          <w:b/>
          <w:color w:val="262626"/>
        </w:rPr>
      </w:pPr>
      <w:r w:rsidRPr="00A3176F">
        <w:rPr>
          <w:rFonts w:ascii="Times New Roman" w:hAnsi="Times New Roman" w:cs="Times New Roman"/>
          <w:b/>
          <w:color w:val="262626"/>
        </w:rPr>
        <w:t>King’s College London</w:t>
      </w:r>
    </w:p>
    <w:p w14:paraId="75561EAD" w14:textId="77777777" w:rsidR="003037C4" w:rsidRPr="00A3176F" w:rsidRDefault="003037C4" w:rsidP="002703FB">
      <w:pPr>
        <w:jc w:val="center"/>
        <w:rPr>
          <w:rFonts w:ascii="Times New Roman" w:hAnsi="Times New Roman" w:cs="Times New Roman"/>
          <w:b/>
          <w:color w:val="262626"/>
        </w:rPr>
      </w:pPr>
    </w:p>
    <w:p w14:paraId="357703A9" w14:textId="0A157C81" w:rsidR="002703FB" w:rsidRPr="00A3176F" w:rsidRDefault="002703FB" w:rsidP="002703FB">
      <w:pPr>
        <w:jc w:val="center"/>
        <w:rPr>
          <w:rFonts w:ascii="Times New Roman" w:hAnsi="Times New Roman" w:cs="Times New Roman"/>
          <w:b/>
          <w:color w:val="262626"/>
        </w:rPr>
      </w:pPr>
      <w:r w:rsidRPr="00A3176F">
        <w:rPr>
          <w:rFonts w:ascii="Times New Roman" w:hAnsi="Times New Roman" w:cs="Times New Roman"/>
          <w:b/>
          <w:color w:val="262626"/>
        </w:rPr>
        <w:t>I</w:t>
      </w:r>
    </w:p>
    <w:p w14:paraId="345F2518" w14:textId="77777777" w:rsidR="002703FB" w:rsidRPr="00A3176F" w:rsidRDefault="002703FB">
      <w:pPr>
        <w:rPr>
          <w:rFonts w:ascii="Times New Roman" w:hAnsi="Times New Roman" w:cs="Times New Roman"/>
          <w:color w:val="262626"/>
        </w:rPr>
      </w:pPr>
    </w:p>
    <w:p w14:paraId="72B90E47" w14:textId="35E81F3E" w:rsidR="00A266ED" w:rsidRPr="00A3176F" w:rsidRDefault="00306FE3">
      <w:pPr>
        <w:rPr>
          <w:rFonts w:ascii="Times New Roman" w:hAnsi="Times New Roman" w:cs="Times New Roman"/>
          <w:color w:val="262626"/>
        </w:rPr>
      </w:pPr>
      <w:r w:rsidRPr="00A3176F">
        <w:rPr>
          <w:rFonts w:ascii="Times New Roman" w:hAnsi="Times New Roman" w:cs="Times New Roman"/>
          <w:color w:val="262626"/>
        </w:rPr>
        <w:t>On 27 May 1935 the ALA Schechter Poultry Corporation struck lucky.   Operating a slaughterhouse in Brooklyn, the US Supreme Court overturned their multiple convictions for violating the ‘Code of Fair Competition for the Live Poultry Industry</w:t>
      </w:r>
      <w:r w:rsidR="00513AA1" w:rsidRPr="00A3176F">
        <w:rPr>
          <w:rFonts w:ascii="Times New Roman" w:hAnsi="Times New Roman" w:cs="Times New Roman"/>
          <w:color w:val="262626"/>
        </w:rPr>
        <w:t>’</w:t>
      </w:r>
      <w:r w:rsidR="00A266ED" w:rsidRPr="00A3176F">
        <w:rPr>
          <w:rFonts w:ascii="Times New Roman" w:hAnsi="Times New Roman" w:cs="Times New Roman"/>
          <w:color w:val="262626"/>
        </w:rPr>
        <w:t>.</w:t>
      </w:r>
      <w:r w:rsidR="00513AA1" w:rsidRPr="00A3176F">
        <w:rPr>
          <w:rStyle w:val="FootnoteReference"/>
          <w:rFonts w:ascii="Times New Roman" w:hAnsi="Times New Roman" w:cs="Times New Roman"/>
          <w:color w:val="262626"/>
        </w:rPr>
        <w:footnoteReference w:id="1"/>
      </w:r>
      <w:r w:rsidR="00A266ED" w:rsidRPr="00A3176F">
        <w:rPr>
          <w:rFonts w:ascii="Times New Roman" w:hAnsi="Times New Roman" w:cs="Times New Roman"/>
          <w:color w:val="262626"/>
        </w:rPr>
        <w:t xml:space="preserve">  </w:t>
      </w:r>
      <w:r w:rsidRPr="00A3176F">
        <w:rPr>
          <w:rFonts w:ascii="Times New Roman" w:hAnsi="Times New Roman" w:cs="Times New Roman"/>
          <w:color w:val="262626"/>
        </w:rPr>
        <w:t xml:space="preserve">In reversing the convictions, the Court also declared </w:t>
      </w:r>
      <w:r w:rsidR="00663170" w:rsidRPr="00A3176F">
        <w:rPr>
          <w:rFonts w:ascii="Times New Roman" w:hAnsi="Times New Roman" w:cs="Times New Roman"/>
          <w:color w:val="262626"/>
        </w:rPr>
        <w:t xml:space="preserve">the Live Poultry Code to be unconstitutional, thereby undermining </w:t>
      </w:r>
      <w:r w:rsidR="00A266ED" w:rsidRPr="00A3176F">
        <w:rPr>
          <w:rFonts w:ascii="Times New Roman" w:hAnsi="Times New Roman" w:cs="Times New Roman"/>
          <w:color w:val="262626"/>
        </w:rPr>
        <w:t>the National Industrial Recovery Act</w:t>
      </w:r>
      <w:r w:rsidR="007862DE" w:rsidRPr="00A3176F">
        <w:rPr>
          <w:rFonts w:ascii="Times New Roman" w:hAnsi="Times New Roman" w:cs="Times New Roman"/>
          <w:color w:val="262626"/>
        </w:rPr>
        <w:t xml:space="preserve"> 1933, legislation from which the Code</w:t>
      </w:r>
      <w:r w:rsidR="00A266ED" w:rsidRPr="00A3176F">
        <w:rPr>
          <w:rFonts w:ascii="Times New Roman" w:hAnsi="Times New Roman" w:cs="Times New Roman"/>
          <w:color w:val="262626"/>
        </w:rPr>
        <w:t xml:space="preserve"> was hatched and a</w:t>
      </w:r>
      <w:r w:rsidR="00663170" w:rsidRPr="00A3176F">
        <w:rPr>
          <w:rFonts w:ascii="Times New Roman" w:hAnsi="Times New Roman" w:cs="Times New Roman"/>
          <w:color w:val="262626"/>
        </w:rPr>
        <w:t xml:space="preserve"> main plank in Roosevelt’s New Deal</w:t>
      </w:r>
      <w:r w:rsidR="00A266ED" w:rsidRPr="00A3176F">
        <w:rPr>
          <w:rFonts w:ascii="Times New Roman" w:hAnsi="Times New Roman" w:cs="Times New Roman"/>
          <w:color w:val="262626"/>
        </w:rPr>
        <w:t xml:space="preserve"> </w:t>
      </w:r>
      <w:r w:rsidR="00513AA1" w:rsidRPr="00A3176F">
        <w:rPr>
          <w:rFonts w:ascii="Times New Roman" w:hAnsi="Times New Roman" w:cs="Times New Roman"/>
          <w:color w:val="262626"/>
        </w:rPr>
        <w:t xml:space="preserve">in the early </w:t>
      </w:r>
      <w:r w:rsidR="00A266ED" w:rsidRPr="00A3176F">
        <w:rPr>
          <w:rFonts w:ascii="Times New Roman" w:hAnsi="Times New Roman" w:cs="Times New Roman"/>
          <w:color w:val="262626"/>
        </w:rPr>
        <w:t>1930s</w:t>
      </w:r>
      <w:r w:rsidR="00663170" w:rsidRPr="00A3176F">
        <w:rPr>
          <w:rFonts w:ascii="Times New Roman" w:hAnsi="Times New Roman" w:cs="Times New Roman"/>
          <w:color w:val="262626"/>
        </w:rPr>
        <w:t xml:space="preserve">.   </w:t>
      </w:r>
    </w:p>
    <w:p w14:paraId="506AFFAD" w14:textId="77777777" w:rsidR="00434F31" w:rsidRPr="00A3176F" w:rsidRDefault="00434F31">
      <w:pPr>
        <w:rPr>
          <w:rFonts w:ascii="Times New Roman" w:hAnsi="Times New Roman" w:cs="Times New Roman"/>
          <w:color w:val="262626"/>
        </w:rPr>
      </w:pPr>
    </w:p>
    <w:p w14:paraId="4FBC2312" w14:textId="09EE008D" w:rsidR="00252C0D" w:rsidRPr="00A3176F" w:rsidRDefault="00663170">
      <w:pPr>
        <w:rPr>
          <w:rFonts w:ascii="Times New Roman" w:hAnsi="Times New Roman" w:cs="Times New Roman"/>
          <w:color w:val="262626"/>
        </w:rPr>
      </w:pPr>
      <w:r w:rsidRPr="00A3176F">
        <w:rPr>
          <w:rFonts w:ascii="Times New Roman" w:hAnsi="Times New Roman" w:cs="Times New Roman"/>
          <w:color w:val="262626"/>
        </w:rPr>
        <w:t xml:space="preserve">A good win for Schechter </w:t>
      </w:r>
      <w:r w:rsidR="00434F31" w:rsidRPr="00A3176F">
        <w:rPr>
          <w:rFonts w:ascii="Times New Roman" w:hAnsi="Times New Roman" w:cs="Times New Roman"/>
          <w:color w:val="262626"/>
        </w:rPr>
        <w:t xml:space="preserve">Poultry </w:t>
      </w:r>
      <w:r w:rsidRPr="00A3176F">
        <w:rPr>
          <w:rFonts w:ascii="Times New Roman" w:hAnsi="Times New Roman" w:cs="Times New Roman"/>
          <w:color w:val="262626"/>
        </w:rPr>
        <w:t xml:space="preserve">but a bad defeat for the employees, the company having been </w:t>
      </w:r>
      <w:r w:rsidR="007862DE" w:rsidRPr="00A3176F">
        <w:rPr>
          <w:rFonts w:ascii="Times New Roman" w:hAnsi="Times New Roman" w:cs="Times New Roman"/>
          <w:color w:val="262626"/>
        </w:rPr>
        <w:t>convicted of those provisions in</w:t>
      </w:r>
      <w:r w:rsidRPr="00A3176F">
        <w:rPr>
          <w:rFonts w:ascii="Times New Roman" w:hAnsi="Times New Roman" w:cs="Times New Roman"/>
          <w:color w:val="262626"/>
        </w:rPr>
        <w:t xml:space="preserve"> the </w:t>
      </w:r>
      <w:r w:rsidR="00A266ED" w:rsidRPr="00A3176F">
        <w:rPr>
          <w:rFonts w:ascii="Times New Roman" w:hAnsi="Times New Roman" w:cs="Times New Roman"/>
          <w:color w:val="262626"/>
        </w:rPr>
        <w:t xml:space="preserve">Live Poultry </w:t>
      </w:r>
      <w:r w:rsidRPr="00A3176F">
        <w:rPr>
          <w:rFonts w:ascii="Times New Roman" w:hAnsi="Times New Roman" w:cs="Times New Roman"/>
          <w:color w:val="262626"/>
        </w:rPr>
        <w:t xml:space="preserve">Code relating to the </w:t>
      </w:r>
      <w:r w:rsidR="007862DE" w:rsidRPr="00A3176F">
        <w:rPr>
          <w:rFonts w:ascii="Times New Roman" w:hAnsi="Times New Roman" w:cs="Times New Roman"/>
          <w:color w:val="262626"/>
        </w:rPr>
        <w:t xml:space="preserve">minimum </w:t>
      </w:r>
      <w:r w:rsidRPr="00A3176F">
        <w:rPr>
          <w:rFonts w:ascii="Times New Roman" w:hAnsi="Times New Roman" w:cs="Times New Roman"/>
          <w:color w:val="262626"/>
        </w:rPr>
        <w:t xml:space="preserve">wages and </w:t>
      </w:r>
      <w:r w:rsidR="007862DE" w:rsidRPr="00A3176F">
        <w:rPr>
          <w:rFonts w:ascii="Times New Roman" w:hAnsi="Times New Roman" w:cs="Times New Roman"/>
          <w:color w:val="262626"/>
        </w:rPr>
        <w:t xml:space="preserve">maximum </w:t>
      </w:r>
      <w:r w:rsidRPr="00A3176F">
        <w:rPr>
          <w:rFonts w:ascii="Times New Roman" w:hAnsi="Times New Roman" w:cs="Times New Roman"/>
          <w:color w:val="262626"/>
        </w:rPr>
        <w:t>hours of its employees.</w:t>
      </w:r>
      <w:r w:rsidR="00A266ED" w:rsidRPr="00A3176F">
        <w:rPr>
          <w:rFonts w:ascii="Times New Roman" w:hAnsi="Times New Roman" w:cs="Times New Roman"/>
          <w:color w:val="262626"/>
        </w:rPr>
        <w:t xml:space="preserve">  </w:t>
      </w:r>
      <w:r w:rsidR="00252C0D" w:rsidRPr="00A3176F">
        <w:rPr>
          <w:rFonts w:ascii="Times New Roman" w:hAnsi="Times New Roman" w:cs="Times New Roman"/>
          <w:color w:val="262626"/>
        </w:rPr>
        <w:t xml:space="preserve">The Code was one of </w:t>
      </w:r>
      <w:r w:rsidR="00F04BAE" w:rsidRPr="00A3176F">
        <w:rPr>
          <w:rFonts w:ascii="Times New Roman" w:hAnsi="Times New Roman" w:cs="Times New Roman"/>
          <w:color w:val="262626"/>
        </w:rPr>
        <w:t xml:space="preserve">a growing number of what was already </w:t>
      </w:r>
      <w:r w:rsidR="00252C0D" w:rsidRPr="00A3176F">
        <w:rPr>
          <w:rFonts w:ascii="Times New Roman" w:hAnsi="Times New Roman" w:cs="Times New Roman"/>
          <w:color w:val="262626"/>
        </w:rPr>
        <w:t xml:space="preserve">about 500 nationwide that had been made under </w:t>
      </w:r>
      <w:r w:rsidR="00A266ED" w:rsidRPr="00A3176F">
        <w:rPr>
          <w:rFonts w:ascii="Times New Roman" w:hAnsi="Times New Roman" w:cs="Times New Roman"/>
          <w:color w:val="262626"/>
        </w:rPr>
        <w:t>the radical and far-reaching provisions of NIRA.</w:t>
      </w:r>
      <w:r w:rsidR="00513AA1" w:rsidRPr="00A3176F">
        <w:rPr>
          <w:rStyle w:val="FootnoteReference"/>
          <w:rFonts w:ascii="Times New Roman" w:hAnsi="Times New Roman" w:cs="Times New Roman"/>
          <w:color w:val="262626"/>
        </w:rPr>
        <w:footnoteReference w:id="2"/>
      </w:r>
      <w:r w:rsidR="00A266ED" w:rsidRPr="00A3176F">
        <w:rPr>
          <w:rFonts w:ascii="Times New Roman" w:hAnsi="Times New Roman" w:cs="Times New Roman"/>
          <w:color w:val="262626"/>
        </w:rPr>
        <w:t xml:space="preserve">   </w:t>
      </w:r>
      <w:r w:rsidR="00252C0D" w:rsidRPr="00A3176F">
        <w:rPr>
          <w:rFonts w:ascii="Times New Roman" w:hAnsi="Times New Roman" w:cs="Times New Roman"/>
          <w:color w:val="262626"/>
        </w:rPr>
        <w:t xml:space="preserve">In </w:t>
      </w:r>
      <w:r w:rsidR="00F04BAE" w:rsidRPr="00A3176F">
        <w:rPr>
          <w:rFonts w:ascii="Times New Roman" w:hAnsi="Times New Roman" w:cs="Times New Roman"/>
          <w:color w:val="262626"/>
        </w:rPr>
        <w:t xml:space="preserve">what was a hymn to Keynes before the </w:t>
      </w:r>
      <w:r w:rsidR="00F04BAE" w:rsidRPr="00A3176F">
        <w:rPr>
          <w:rFonts w:ascii="Times New Roman" w:hAnsi="Times New Roman" w:cs="Times New Roman"/>
          <w:i/>
          <w:color w:val="262626"/>
        </w:rPr>
        <w:t>General Theory</w:t>
      </w:r>
      <w:r w:rsidR="00A266ED" w:rsidRPr="00A3176F">
        <w:rPr>
          <w:rFonts w:ascii="Times New Roman" w:hAnsi="Times New Roman" w:cs="Times New Roman"/>
          <w:color w:val="262626"/>
        </w:rPr>
        <w:t xml:space="preserve">, the Act declared </w:t>
      </w:r>
      <w:r w:rsidR="00F04BAE" w:rsidRPr="00A3176F">
        <w:rPr>
          <w:rFonts w:ascii="Times New Roman" w:hAnsi="Times New Roman" w:cs="Times New Roman"/>
          <w:color w:val="262626"/>
        </w:rPr>
        <w:t xml:space="preserve">that </w:t>
      </w:r>
      <w:r w:rsidR="007862DE" w:rsidRPr="00A3176F">
        <w:rPr>
          <w:rFonts w:ascii="Times New Roman" w:hAnsi="Times New Roman" w:cs="Times New Roman"/>
          <w:color w:val="262626"/>
        </w:rPr>
        <w:t>Roosevelt’s</w:t>
      </w:r>
      <w:r w:rsidR="00F04BAE" w:rsidRPr="00A3176F">
        <w:rPr>
          <w:rFonts w:ascii="Times New Roman" w:hAnsi="Times New Roman" w:cs="Times New Roman"/>
          <w:color w:val="262626"/>
        </w:rPr>
        <w:t xml:space="preserve"> recovery was to take place</w:t>
      </w:r>
    </w:p>
    <w:p w14:paraId="5EFD508B" w14:textId="77777777" w:rsidR="00252C0D" w:rsidRPr="00A3176F" w:rsidRDefault="00252C0D">
      <w:pPr>
        <w:rPr>
          <w:rFonts w:ascii="Times New Roman" w:hAnsi="Times New Roman" w:cs="Times New Roman"/>
          <w:color w:val="262626"/>
        </w:rPr>
      </w:pPr>
    </w:p>
    <w:p w14:paraId="69E762A1" w14:textId="3990816E" w:rsidR="00252C0D" w:rsidRPr="00A3176F" w:rsidRDefault="00252C0D" w:rsidP="00F04BAE">
      <w:pPr>
        <w:ind w:left="720"/>
        <w:rPr>
          <w:rFonts w:ascii="Times New Roman" w:hAnsi="Times New Roman" w:cs="Times New Roman"/>
          <w:color w:val="262626"/>
        </w:rPr>
      </w:pPr>
      <w:r w:rsidRPr="00A3176F">
        <w:rPr>
          <w:rFonts w:ascii="Times New Roman" w:hAnsi="Times New Roman" w:cs="Times New Roman"/>
          <w:color w:val="262626"/>
        </w:rPr>
        <w:t xml:space="preserve">by promoting the organization of industry for the purpose of cooperative action among trade groups, </w:t>
      </w:r>
      <w:r w:rsidRPr="00A3176F">
        <w:rPr>
          <w:rFonts w:ascii="Times New Roman" w:hAnsi="Times New Roman" w:cs="Times New Roman"/>
          <w:b/>
          <w:color w:val="262626"/>
        </w:rPr>
        <w:t>to induce and maintain united action of labor and management under adequate governmental sanctions and supervision</w:t>
      </w:r>
      <w:r w:rsidRPr="00A3176F">
        <w:rPr>
          <w:rFonts w:ascii="Times New Roman" w:hAnsi="Times New Roman" w:cs="Times New Roman"/>
          <w:color w:val="262626"/>
        </w:rPr>
        <w:t>, to eliminate unfair competitive practices, to promote the fullest possible utilization of the present productive capacity of industries, to avoid undue restriction of production (except as may be temporarily required), to increase the consumption of industrial and agricultural products by increasing purchasing power, to reduce and relieve unemployment</w:t>
      </w:r>
      <w:r w:rsidRPr="00A3176F">
        <w:rPr>
          <w:rFonts w:ascii="Times New Roman" w:hAnsi="Times New Roman" w:cs="Times New Roman"/>
          <w:b/>
          <w:color w:val="262626"/>
        </w:rPr>
        <w:t>, to improve standards of labor</w:t>
      </w:r>
      <w:r w:rsidRPr="00A3176F">
        <w:rPr>
          <w:rFonts w:ascii="Times New Roman" w:hAnsi="Times New Roman" w:cs="Times New Roman"/>
          <w:color w:val="262626"/>
        </w:rPr>
        <w:t>, and otherwise to rehabilitate industry and to conserve natural resource.</w:t>
      </w:r>
      <w:r w:rsidR="00513AA1" w:rsidRPr="00A3176F">
        <w:rPr>
          <w:rStyle w:val="FootnoteReference"/>
          <w:rFonts w:ascii="Times New Roman" w:hAnsi="Times New Roman" w:cs="Times New Roman"/>
          <w:color w:val="262626"/>
        </w:rPr>
        <w:footnoteReference w:id="3"/>
      </w:r>
      <w:r w:rsidRPr="00A3176F">
        <w:rPr>
          <w:rFonts w:ascii="Times New Roman" w:hAnsi="Times New Roman" w:cs="Times New Roman"/>
          <w:color w:val="262626"/>
        </w:rPr>
        <w:t xml:space="preserve">   </w:t>
      </w:r>
    </w:p>
    <w:p w14:paraId="60E34BA7" w14:textId="77777777" w:rsidR="00F04BAE" w:rsidRPr="00A3176F" w:rsidRDefault="00F04BAE" w:rsidP="00F04BAE">
      <w:pPr>
        <w:rPr>
          <w:rFonts w:ascii="Times New Roman" w:hAnsi="Times New Roman" w:cs="Times New Roman"/>
          <w:color w:val="262626"/>
        </w:rPr>
      </w:pPr>
    </w:p>
    <w:p w14:paraId="4663B954" w14:textId="2C2449B6" w:rsidR="00434F31" w:rsidRPr="00A3176F" w:rsidRDefault="00F04BAE">
      <w:pPr>
        <w:rPr>
          <w:rFonts w:ascii="Times New Roman" w:hAnsi="Times New Roman" w:cs="Times New Roman"/>
          <w:color w:val="262626"/>
        </w:rPr>
      </w:pPr>
      <w:r w:rsidRPr="00A3176F">
        <w:rPr>
          <w:rFonts w:ascii="Times New Roman" w:hAnsi="Times New Roman" w:cs="Times New Roman"/>
        </w:rPr>
        <w:t xml:space="preserve">One way by which these objectives were to be met was by </w:t>
      </w:r>
      <w:r w:rsidR="00084126" w:rsidRPr="00A3176F">
        <w:rPr>
          <w:rFonts w:ascii="Times New Roman" w:hAnsi="Times New Roman" w:cs="Times New Roman"/>
        </w:rPr>
        <w:t>the development of industry-wide codes of fair competition to regulate labour conditions in the sector in question.  Once approved by the President, these codes would app</w:t>
      </w:r>
      <w:r w:rsidR="006165DB" w:rsidRPr="00A3176F">
        <w:rPr>
          <w:rFonts w:ascii="Times New Roman" w:hAnsi="Times New Roman" w:cs="Times New Roman"/>
        </w:rPr>
        <w:t>ly to all enterprises whether or</w:t>
      </w:r>
      <w:r w:rsidR="00084126" w:rsidRPr="00A3176F">
        <w:rPr>
          <w:rFonts w:ascii="Times New Roman" w:hAnsi="Times New Roman" w:cs="Times New Roman"/>
        </w:rPr>
        <w:t xml:space="preserve"> not they were members of the trade or industry associations </w:t>
      </w:r>
      <w:r w:rsidR="00513AA1" w:rsidRPr="00A3176F">
        <w:rPr>
          <w:rFonts w:ascii="Times New Roman" w:hAnsi="Times New Roman" w:cs="Times New Roman"/>
        </w:rPr>
        <w:t>by which they were concluded</w:t>
      </w:r>
      <w:r w:rsidR="00084126" w:rsidRPr="00A3176F">
        <w:rPr>
          <w:rFonts w:ascii="Times New Roman" w:hAnsi="Times New Roman" w:cs="Times New Roman"/>
        </w:rPr>
        <w:t>.</w:t>
      </w:r>
      <w:r w:rsidR="00844B74" w:rsidRPr="00A3176F">
        <w:rPr>
          <w:rFonts w:ascii="Times New Roman" w:hAnsi="Times New Roman" w:cs="Times New Roman"/>
        </w:rPr>
        <w:t xml:space="preserve"> </w:t>
      </w:r>
      <w:r w:rsidR="00513AA1" w:rsidRPr="00A3176F">
        <w:rPr>
          <w:rFonts w:ascii="Times New Roman" w:hAnsi="Times New Roman" w:cs="Times New Roman"/>
        </w:rPr>
        <w:t xml:space="preserve"> </w:t>
      </w:r>
      <w:r w:rsidR="00844B74" w:rsidRPr="00A3176F">
        <w:rPr>
          <w:rFonts w:ascii="Times New Roman" w:hAnsi="Times New Roman" w:cs="Times New Roman"/>
        </w:rPr>
        <w:t xml:space="preserve">The Live Poultry Code contained </w:t>
      </w:r>
      <w:r w:rsidR="00844B74" w:rsidRPr="00A3176F">
        <w:rPr>
          <w:rFonts w:ascii="Times New Roman" w:hAnsi="Times New Roman" w:cs="Times New Roman"/>
          <w:color w:val="262626"/>
        </w:rPr>
        <w:t>‘general labor provisions,</w:t>
      </w:r>
      <w:r w:rsidR="00BA27DD" w:rsidRPr="00A3176F">
        <w:rPr>
          <w:rFonts w:ascii="Times New Roman" w:hAnsi="Times New Roman" w:cs="Times New Roman"/>
          <w:color w:val="262626"/>
        </w:rPr>
        <w:t xml:space="preserve"> dec</w:t>
      </w:r>
      <w:r w:rsidR="00844B74" w:rsidRPr="00A3176F">
        <w:rPr>
          <w:rFonts w:ascii="Times New Roman" w:hAnsi="Times New Roman" w:cs="Times New Roman"/>
          <w:color w:val="262626"/>
        </w:rPr>
        <w:t>laring</w:t>
      </w:r>
      <w:r w:rsidR="00BA27DD" w:rsidRPr="00A3176F">
        <w:rPr>
          <w:rFonts w:ascii="Times New Roman" w:hAnsi="Times New Roman" w:cs="Times New Roman"/>
          <w:color w:val="262626"/>
        </w:rPr>
        <w:t xml:space="preserve"> that employees </w:t>
      </w:r>
      <w:r w:rsidR="00844B74" w:rsidRPr="00A3176F">
        <w:rPr>
          <w:rFonts w:ascii="Times New Roman" w:hAnsi="Times New Roman" w:cs="Times New Roman"/>
          <w:color w:val="262626"/>
        </w:rPr>
        <w:t>had the right of ‘collective bargaining’,</w:t>
      </w:r>
      <w:r w:rsidR="00BA27DD" w:rsidRPr="00A3176F">
        <w:rPr>
          <w:rFonts w:ascii="Times New Roman" w:hAnsi="Times New Roman" w:cs="Times New Roman"/>
          <w:color w:val="262626"/>
        </w:rPr>
        <w:t xml:space="preserve"> and freedom of choice with respect to labor </w:t>
      </w:r>
      <w:r w:rsidR="00844B74" w:rsidRPr="00A3176F">
        <w:rPr>
          <w:rFonts w:ascii="Times New Roman" w:hAnsi="Times New Roman" w:cs="Times New Roman"/>
          <w:color w:val="262626"/>
        </w:rPr>
        <w:t>organizations’, in the terms of s</w:t>
      </w:r>
      <w:r w:rsidR="00BA27DD" w:rsidRPr="00A3176F">
        <w:rPr>
          <w:rFonts w:ascii="Times New Roman" w:hAnsi="Times New Roman" w:cs="Times New Roman"/>
          <w:color w:val="262626"/>
        </w:rPr>
        <w:t xml:space="preserve"> 7(a) of the Act.</w:t>
      </w:r>
    </w:p>
    <w:p w14:paraId="25E79993" w14:textId="77777777" w:rsidR="00434F31" w:rsidRPr="00A3176F" w:rsidRDefault="00434F31">
      <w:pPr>
        <w:rPr>
          <w:rFonts w:ascii="Times New Roman" w:hAnsi="Times New Roman" w:cs="Times New Roman"/>
          <w:color w:val="262626"/>
        </w:rPr>
      </w:pPr>
    </w:p>
    <w:p w14:paraId="2897187C" w14:textId="535E4A14" w:rsidR="00844B74" w:rsidRPr="00A3176F" w:rsidRDefault="009219CE">
      <w:pPr>
        <w:rPr>
          <w:rFonts w:ascii="Times New Roman" w:hAnsi="Times New Roman" w:cs="Times New Roman"/>
          <w:color w:val="262626"/>
        </w:rPr>
      </w:pPr>
      <w:r w:rsidRPr="00A3176F">
        <w:rPr>
          <w:rFonts w:ascii="Times New Roman" w:hAnsi="Times New Roman" w:cs="Times New Roman"/>
          <w:color w:val="262626"/>
        </w:rPr>
        <w:lastRenderedPageBreak/>
        <w:t>So i</w:t>
      </w:r>
      <w:r w:rsidR="00434F31" w:rsidRPr="00A3176F">
        <w:rPr>
          <w:rFonts w:ascii="Times New Roman" w:hAnsi="Times New Roman" w:cs="Times New Roman"/>
          <w:color w:val="262626"/>
        </w:rPr>
        <w:t>n additions to the guarantees in the sectoral codes</w:t>
      </w:r>
      <w:r w:rsidRPr="00A3176F">
        <w:rPr>
          <w:rFonts w:ascii="Times New Roman" w:hAnsi="Times New Roman" w:cs="Times New Roman"/>
          <w:color w:val="262626"/>
        </w:rPr>
        <w:t xml:space="preserve">, </w:t>
      </w:r>
      <w:r w:rsidR="00434F31" w:rsidRPr="00A3176F">
        <w:rPr>
          <w:rFonts w:ascii="Times New Roman" w:hAnsi="Times New Roman" w:cs="Times New Roman"/>
          <w:color w:val="262626"/>
        </w:rPr>
        <w:t xml:space="preserve">the Act itself included a number of </w:t>
      </w:r>
      <w:r w:rsidRPr="00A3176F">
        <w:rPr>
          <w:rFonts w:ascii="Times New Roman" w:hAnsi="Times New Roman" w:cs="Times New Roman"/>
          <w:color w:val="262626"/>
        </w:rPr>
        <w:t>specific</w:t>
      </w:r>
      <w:r w:rsidR="00434F31" w:rsidRPr="00A3176F">
        <w:rPr>
          <w:rFonts w:ascii="Times New Roman" w:hAnsi="Times New Roman" w:cs="Times New Roman"/>
          <w:color w:val="262626"/>
        </w:rPr>
        <w:t xml:space="preserve"> guarantees of trade union freedom, providing in strong terms in s 7(a) that </w:t>
      </w:r>
      <w:r w:rsidR="00BA27DD" w:rsidRPr="00A3176F">
        <w:rPr>
          <w:rFonts w:ascii="Times New Roman" w:hAnsi="Times New Roman" w:cs="Times New Roman"/>
          <w:color w:val="262626"/>
        </w:rPr>
        <w:t xml:space="preserve"> </w:t>
      </w:r>
    </w:p>
    <w:p w14:paraId="562B972A" w14:textId="77777777" w:rsidR="00A266ED" w:rsidRPr="00A3176F" w:rsidRDefault="00A266ED">
      <w:pPr>
        <w:rPr>
          <w:rFonts w:ascii="Times New Roman" w:hAnsi="Times New Roman" w:cs="Times New Roman"/>
          <w:color w:val="262626"/>
        </w:rPr>
      </w:pPr>
    </w:p>
    <w:p w14:paraId="61530ABC" w14:textId="0FFA8589" w:rsidR="00A266ED" w:rsidRPr="00A3176F" w:rsidRDefault="00A266ED" w:rsidP="00434F31">
      <w:pPr>
        <w:ind w:left="720"/>
        <w:rPr>
          <w:rFonts w:ascii="Times New Roman" w:hAnsi="Times New Roman" w:cs="Times New Roman"/>
          <w:color w:val="262626"/>
        </w:rPr>
      </w:pPr>
      <w:r w:rsidRPr="00A3176F">
        <w:rPr>
          <w:rFonts w:ascii="Times New Roman" w:hAnsi="Times New Roman" w:cs="Times New Roman"/>
          <w:color w:val="1C1C1C"/>
        </w:rPr>
        <w:t>employees shall have the right to organize and bargain collectively through representatives of their own choosing, and shall be free from the interference restraint, or coercion of employers of labor, or their agents, in the designation of such representatives or in self-organization or in other concerted activities for the purpose of collective bargaining or</w:t>
      </w:r>
      <w:r w:rsidR="00513AA1" w:rsidRPr="00A3176F">
        <w:rPr>
          <w:rFonts w:ascii="Times New Roman" w:hAnsi="Times New Roman" w:cs="Times New Roman"/>
          <w:color w:val="1C1C1C"/>
        </w:rPr>
        <w:t xml:space="preserve"> other mutual aid or protection.</w:t>
      </w:r>
      <w:r w:rsidRPr="00A3176F">
        <w:rPr>
          <w:rFonts w:ascii="Times New Roman" w:hAnsi="Times New Roman" w:cs="Times New Roman"/>
          <w:color w:val="1C1C1C"/>
        </w:rPr>
        <w:t xml:space="preserve"> </w:t>
      </w:r>
    </w:p>
    <w:p w14:paraId="4769F393" w14:textId="77777777" w:rsidR="007F122F" w:rsidRPr="00A3176F" w:rsidRDefault="007F122F">
      <w:pPr>
        <w:rPr>
          <w:rFonts w:ascii="Times New Roman" w:hAnsi="Times New Roman" w:cs="Times New Roman"/>
          <w:color w:val="262626"/>
        </w:rPr>
      </w:pPr>
    </w:p>
    <w:p w14:paraId="2D5CC781" w14:textId="124E0B27" w:rsidR="007F122F" w:rsidRPr="00A3176F" w:rsidRDefault="00513AA1">
      <w:pPr>
        <w:rPr>
          <w:rFonts w:ascii="Times New Roman" w:hAnsi="Times New Roman" w:cs="Times New Roman"/>
          <w:color w:val="262626"/>
        </w:rPr>
      </w:pPr>
      <w:r w:rsidRPr="00A3176F">
        <w:rPr>
          <w:rFonts w:ascii="Times New Roman" w:hAnsi="Times New Roman" w:cs="Times New Roman"/>
          <w:color w:val="262626"/>
        </w:rPr>
        <w:t>U</w:t>
      </w:r>
      <w:r w:rsidR="007F122F" w:rsidRPr="00A3176F">
        <w:rPr>
          <w:rFonts w:ascii="Times New Roman" w:hAnsi="Times New Roman" w:cs="Times New Roman"/>
          <w:color w:val="262626"/>
        </w:rPr>
        <w:t>sing language familiar to British labour lawyers</w:t>
      </w:r>
      <w:r w:rsidRPr="00A3176F">
        <w:rPr>
          <w:rFonts w:ascii="Times New Roman" w:hAnsi="Times New Roman" w:cs="Times New Roman"/>
          <w:color w:val="262626"/>
        </w:rPr>
        <w:t>,</w:t>
      </w:r>
      <w:r w:rsidR="006C39BB" w:rsidRPr="00A3176F">
        <w:rPr>
          <w:rStyle w:val="FootnoteReference"/>
          <w:rFonts w:ascii="Times New Roman" w:hAnsi="Times New Roman" w:cs="Times New Roman"/>
          <w:color w:val="262626"/>
        </w:rPr>
        <w:footnoteReference w:id="4"/>
      </w:r>
      <w:r w:rsidRPr="00A3176F">
        <w:rPr>
          <w:rFonts w:ascii="Times New Roman" w:hAnsi="Times New Roman" w:cs="Times New Roman"/>
          <w:color w:val="262626"/>
        </w:rPr>
        <w:t xml:space="preserve"> </w:t>
      </w:r>
      <w:r w:rsidR="007862DE" w:rsidRPr="00A3176F">
        <w:rPr>
          <w:rFonts w:ascii="Times New Roman" w:hAnsi="Times New Roman" w:cs="Times New Roman"/>
          <w:color w:val="262626"/>
        </w:rPr>
        <w:t xml:space="preserve">however, </w:t>
      </w:r>
      <w:r w:rsidRPr="00A3176F">
        <w:rPr>
          <w:rFonts w:ascii="Times New Roman" w:hAnsi="Times New Roman" w:cs="Times New Roman"/>
          <w:color w:val="262626"/>
        </w:rPr>
        <w:t>the Supreme Court gave several reasons for striking down the Live Poultry Code</w:t>
      </w:r>
      <w:r w:rsidR="007F122F" w:rsidRPr="00A3176F">
        <w:rPr>
          <w:rFonts w:ascii="Times New Roman" w:hAnsi="Times New Roman" w:cs="Times New Roman"/>
          <w:color w:val="262626"/>
        </w:rPr>
        <w:t>.  Thus</w:t>
      </w:r>
      <w:r w:rsidRPr="00A3176F">
        <w:rPr>
          <w:rFonts w:ascii="Times New Roman" w:hAnsi="Times New Roman" w:cs="Times New Roman"/>
          <w:color w:val="262626"/>
        </w:rPr>
        <w:t>,</w:t>
      </w:r>
      <w:r w:rsidR="007F122F" w:rsidRPr="00A3176F">
        <w:rPr>
          <w:rFonts w:ascii="Times New Roman" w:hAnsi="Times New Roman" w:cs="Times New Roman"/>
          <w:color w:val="262626"/>
        </w:rPr>
        <w:t xml:space="preserve"> the procedure endowed ‘voluntary trade or industrial associations or groups with privileges or immunities’; the codes of fair competition were ‘codes of laws’, placing ‘all persons within their reach under the obligation of positive law, binding equally those who assent and those who do not assent’; while the President was given </w:t>
      </w:r>
      <w:r w:rsidR="007862DE" w:rsidRPr="00A3176F">
        <w:rPr>
          <w:rFonts w:ascii="Times New Roman" w:hAnsi="Times New Roman" w:cs="Times New Roman"/>
          <w:color w:val="262626"/>
        </w:rPr>
        <w:t>‘</w:t>
      </w:r>
      <w:r w:rsidR="007F122F" w:rsidRPr="00A3176F">
        <w:rPr>
          <w:rFonts w:ascii="Times New Roman" w:hAnsi="Times New Roman" w:cs="Times New Roman"/>
          <w:color w:val="262626"/>
        </w:rPr>
        <w:t>virtually unfettered power to approve these codes or not, and on what condition</w:t>
      </w:r>
      <w:r w:rsidR="007862DE" w:rsidRPr="00A3176F">
        <w:rPr>
          <w:rFonts w:ascii="Times New Roman" w:hAnsi="Times New Roman" w:cs="Times New Roman"/>
          <w:color w:val="262626"/>
        </w:rPr>
        <w:t>’</w:t>
      </w:r>
      <w:r w:rsidR="007F122F" w:rsidRPr="00A3176F">
        <w:rPr>
          <w:rFonts w:ascii="Times New Roman" w:hAnsi="Times New Roman" w:cs="Times New Roman"/>
          <w:color w:val="262626"/>
        </w:rPr>
        <w:t>.</w:t>
      </w:r>
    </w:p>
    <w:p w14:paraId="46B21CDA" w14:textId="5B5E652C" w:rsidR="007F122F" w:rsidRPr="00A3176F" w:rsidRDefault="007F122F">
      <w:pPr>
        <w:rPr>
          <w:rFonts w:ascii="Times New Roman" w:hAnsi="Times New Roman" w:cs="Times New Roman"/>
          <w:color w:val="262626"/>
        </w:rPr>
      </w:pPr>
      <w:r w:rsidRPr="00A3176F">
        <w:rPr>
          <w:rFonts w:ascii="Times New Roman" w:hAnsi="Times New Roman" w:cs="Times New Roman"/>
          <w:color w:val="262626"/>
        </w:rPr>
        <w:t xml:space="preserve"> </w:t>
      </w:r>
    </w:p>
    <w:p w14:paraId="5FD63847" w14:textId="1F681AD2" w:rsidR="00844B74" w:rsidRPr="00A3176F" w:rsidRDefault="007F122F">
      <w:pPr>
        <w:rPr>
          <w:rFonts w:ascii="Times New Roman" w:hAnsi="Times New Roman" w:cs="Times New Roman"/>
          <w:color w:val="262626"/>
        </w:rPr>
      </w:pPr>
      <w:r w:rsidRPr="00A3176F">
        <w:rPr>
          <w:rFonts w:ascii="Times New Roman" w:hAnsi="Times New Roman" w:cs="Times New Roman"/>
          <w:color w:val="262626"/>
        </w:rPr>
        <w:t>But what about the claim in NIRA, section 1 that the Act was a response to ‘</w:t>
      </w:r>
      <w:r w:rsidR="00513AA1" w:rsidRPr="00A3176F">
        <w:rPr>
          <w:rFonts w:ascii="Times New Roman" w:hAnsi="Times New Roman" w:cs="Times New Roman"/>
          <w:color w:val="262626"/>
        </w:rPr>
        <w:t>a</w:t>
      </w:r>
      <w:r w:rsidRPr="00A3176F">
        <w:rPr>
          <w:rFonts w:ascii="Times New Roman" w:hAnsi="Times New Roman" w:cs="Times New Roman"/>
          <w:color w:val="262626"/>
        </w:rPr>
        <w:t xml:space="preserve"> national emergency productive of widespread unemployment and disorganization of industry, which burdens interstate and foreign commerce, affects the public welfare, and undermines the standards of living of the American people’.  </w:t>
      </w:r>
      <w:r w:rsidR="00434F31" w:rsidRPr="00A3176F">
        <w:rPr>
          <w:rFonts w:ascii="Times New Roman" w:hAnsi="Times New Roman" w:cs="Times New Roman"/>
          <w:color w:val="262626"/>
        </w:rPr>
        <w:t xml:space="preserve"> Too bad:  a</w:t>
      </w:r>
      <w:r w:rsidRPr="00A3176F">
        <w:rPr>
          <w:rFonts w:ascii="Times New Roman" w:hAnsi="Times New Roman" w:cs="Times New Roman"/>
          <w:color w:val="262626"/>
        </w:rPr>
        <w:t xml:space="preserve">ccording to the Court:  </w:t>
      </w:r>
    </w:p>
    <w:p w14:paraId="72A6AB60" w14:textId="696683CB" w:rsidR="00844B74" w:rsidRPr="00A3176F" w:rsidRDefault="007F122F">
      <w:pPr>
        <w:rPr>
          <w:rFonts w:ascii="Times New Roman" w:hAnsi="Times New Roman" w:cs="Times New Roman"/>
          <w:color w:val="262626"/>
        </w:rPr>
      </w:pPr>
      <w:r w:rsidRPr="00A3176F">
        <w:rPr>
          <w:rFonts w:ascii="Times New Roman" w:hAnsi="Times New Roman" w:cs="Times New Roman"/>
          <w:color w:val="262626"/>
        </w:rPr>
        <w:t xml:space="preserve">   </w:t>
      </w:r>
    </w:p>
    <w:p w14:paraId="1A8D2148" w14:textId="1F55D50E" w:rsidR="00756668" w:rsidRPr="00A3176F" w:rsidRDefault="00756668" w:rsidP="007F122F">
      <w:pPr>
        <w:widowControl w:val="0"/>
        <w:autoSpaceDE w:val="0"/>
        <w:autoSpaceDN w:val="0"/>
        <w:adjustRightInd w:val="0"/>
        <w:ind w:left="720"/>
        <w:rPr>
          <w:rFonts w:ascii="Times New Roman" w:hAnsi="Times New Roman" w:cs="Times New Roman"/>
          <w:color w:val="262626"/>
        </w:rPr>
      </w:pPr>
      <w:r w:rsidRPr="00A3176F">
        <w:rPr>
          <w:rFonts w:ascii="Times New Roman" w:hAnsi="Times New Roman" w:cs="Times New Roman"/>
          <w:color w:val="262626"/>
        </w:rPr>
        <w:t xml:space="preserve">Extraordinary conditions do not create or enlarge constitutional power. </w:t>
      </w:r>
      <w:r w:rsidR="007F122F" w:rsidRPr="00A3176F">
        <w:rPr>
          <w:rFonts w:ascii="Times New Roman" w:hAnsi="Times New Roman" w:cs="Times New Roman"/>
          <w:color w:val="262626"/>
        </w:rPr>
        <w:t xml:space="preserve">  </w:t>
      </w:r>
      <w:r w:rsidRPr="00A3176F">
        <w:rPr>
          <w:rFonts w:ascii="Times New Roman" w:hAnsi="Times New Roman" w:cs="Times New Roman"/>
          <w:color w:val="262626"/>
        </w:rPr>
        <w:t>The Constitution established a national government with powers deemed to be adequate, as they have proved to be both in war and peace, but these powers of the national government are limited by the constitutional grants. Those who act under these grants are not at liberty to transcend the</w:t>
      </w:r>
      <w:r w:rsidR="007F122F" w:rsidRPr="00A3176F">
        <w:rPr>
          <w:rFonts w:ascii="Times New Roman" w:hAnsi="Times New Roman" w:cs="Times New Roman"/>
          <w:color w:val="262626"/>
        </w:rPr>
        <w:t xml:space="preserve"> </w:t>
      </w:r>
      <w:r w:rsidRPr="00A3176F">
        <w:rPr>
          <w:rFonts w:ascii="Times New Roman" w:hAnsi="Times New Roman" w:cs="Times New Roman"/>
          <w:color w:val="262626"/>
        </w:rPr>
        <w:t>imposed limits because they believe that more or different power is necessary.</w:t>
      </w:r>
      <w:r w:rsidR="009219CE" w:rsidRPr="00A3176F">
        <w:rPr>
          <w:rStyle w:val="FootnoteReference"/>
          <w:rFonts w:ascii="Times New Roman" w:hAnsi="Times New Roman" w:cs="Times New Roman"/>
          <w:color w:val="262626"/>
        </w:rPr>
        <w:footnoteReference w:id="5"/>
      </w:r>
    </w:p>
    <w:p w14:paraId="2986A7E3" w14:textId="77777777" w:rsidR="00756668" w:rsidRPr="00A3176F" w:rsidRDefault="00756668" w:rsidP="00756668">
      <w:pPr>
        <w:rPr>
          <w:rFonts w:ascii="Times New Roman" w:hAnsi="Times New Roman" w:cs="Times New Roman"/>
          <w:color w:val="262626"/>
        </w:rPr>
      </w:pPr>
    </w:p>
    <w:p w14:paraId="0BF34D3F" w14:textId="2DB15B1E" w:rsidR="00BA27DD" w:rsidRPr="00A3176F" w:rsidRDefault="002703FB" w:rsidP="00756668">
      <w:pPr>
        <w:rPr>
          <w:rFonts w:ascii="Times New Roman" w:hAnsi="Times New Roman" w:cs="Times New Roman"/>
          <w:color w:val="262626"/>
        </w:rPr>
      </w:pPr>
      <w:r w:rsidRPr="00A3176F">
        <w:rPr>
          <w:rFonts w:ascii="Times New Roman" w:hAnsi="Times New Roman" w:cs="Times New Roman"/>
          <w:color w:val="262626"/>
        </w:rPr>
        <w:t>As a result,</w:t>
      </w:r>
      <w:r w:rsidR="00BA27DD" w:rsidRPr="00A3176F">
        <w:rPr>
          <w:rFonts w:ascii="Times New Roman" w:hAnsi="Times New Roman" w:cs="Times New Roman"/>
          <w:color w:val="262626"/>
        </w:rPr>
        <w:t xml:space="preserve"> the attempt, through the provisions of the Code, to fix the hours and wages of employees of defendants in their intrastate business was</w:t>
      </w:r>
      <w:r w:rsidR="00513AA1" w:rsidRPr="00A3176F">
        <w:rPr>
          <w:rFonts w:ascii="Times New Roman" w:hAnsi="Times New Roman" w:cs="Times New Roman"/>
          <w:color w:val="262626"/>
        </w:rPr>
        <w:t xml:space="preserve"> deemed not to be</w:t>
      </w:r>
      <w:r w:rsidR="00BA27DD" w:rsidRPr="00A3176F">
        <w:rPr>
          <w:rFonts w:ascii="Times New Roman" w:hAnsi="Times New Roman" w:cs="Times New Roman"/>
          <w:color w:val="262626"/>
        </w:rPr>
        <w:t xml:space="preserve"> a valid exercise of federal power.</w:t>
      </w:r>
    </w:p>
    <w:p w14:paraId="1CE5E92C" w14:textId="77777777" w:rsidR="00BA27DD" w:rsidRPr="00A3176F" w:rsidRDefault="00BA27DD" w:rsidP="00756668">
      <w:pPr>
        <w:rPr>
          <w:rFonts w:ascii="Times New Roman" w:hAnsi="Times New Roman" w:cs="Times New Roman"/>
          <w:color w:val="262626"/>
        </w:rPr>
      </w:pPr>
    </w:p>
    <w:p w14:paraId="1CA1CA99" w14:textId="77777777" w:rsidR="002703FB" w:rsidRPr="00A3176F" w:rsidRDefault="002703FB" w:rsidP="002703FB">
      <w:pPr>
        <w:jc w:val="center"/>
        <w:rPr>
          <w:rFonts w:ascii="Times New Roman" w:hAnsi="Times New Roman" w:cs="Times New Roman"/>
          <w:b/>
        </w:rPr>
      </w:pPr>
    </w:p>
    <w:p w14:paraId="334283C6" w14:textId="5893FC0D" w:rsidR="00756668" w:rsidRPr="00A3176F" w:rsidRDefault="002703FB" w:rsidP="002703FB">
      <w:pPr>
        <w:jc w:val="center"/>
        <w:rPr>
          <w:rFonts w:ascii="Times New Roman" w:hAnsi="Times New Roman" w:cs="Times New Roman"/>
          <w:b/>
        </w:rPr>
      </w:pPr>
      <w:r w:rsidRPr="00A3176F">
        <w:rPr>
          <w:rFonts w:ascii="Times New Roman" w:hAnsi="Times New Roman" w:cs="Times New Roman"/>
          <w:b/>
        </w:rPr>
        <w:t>II</w:t>
      </w:r>
    </w:p>
    <w:p w14:paraId="411EE069" w14:textId="77777777" w:rsidR="002703FB" w:rsidRPr="00A3176F" w:rsidRDefault="002703FB">
      <w:pPr>
        <w:rPr>
          <w:rFonts w:ascii="Times New Roman" w:hAnsi="Times New Roman" w:cs="Times New Roman"/>
        </w:rPr>
      </w:pPr>
    </w:p>
    <w:p w14:paraId="40396BBE" w14:textId="4FB58427" w:rsidR="002703FB" w:rsidRPr="00A3176F" w:rsidRDefault="002703FB">
      <w:pPr>
        <w:rPr>
          <w:rFonts w:ascii="Times New Roman" w:hAnsi="Times New Roman" w:cs="Times New Roman"/>
        </w:rPr>
      </w:pPr>
      <w:r w:rsidRPr="00A3176F">
        <w:rPr>
          <w:rFonts w:ascii="Times New Roman" w:hAnsi="Times New Roman" w:cs="Times New Roman"/>
        </w:rPr>
        <w:t xml:space="preserve">The </w:t>
      </w:r>
      <w:r w:rsidRPr="00A3176F">
        <w:rPr>
          <w:rFonts w:ascii="Times New Roman" w:hAnsi="Times New Roman" w:cs="Times New Roman"/>
          <w:i/>
        </w:rPr>
        <w:t>Schechter</w:t>
      </w:r>
      <w:r w:rsidRPr="00A3176F">
        <w:rPr>
          <w:rFonts w:ascii="Times New Roman" w:hAnsi="Times New Roman" w:cs="Times New Roman"/>
        </w:rPr>
        <w:t xml:space="preserve"> case </w:t>
      </w:r>
      <w:r w:rsidR="003037C4" w:rsidRPr="00A3176F">
        <w:rPr>
          <w:rFonts w:ascii="Times New Roman" w:hAnsi="Times New Roman" w:cs="Times New Roman"/>
        </w:rPr>
        <w:t>is sometimes referre</w:t>
      </w:r>
      <w:r w:rsidR="009F679C" w:rsidRPr="00A3176F">
        <w:rPr>
          <w:rFonts w:ascii="Times New Roman" w:hAnsi="Times New Roman" w:cs="Times New Roman"/>
        </w:rPr>
        <w:t xml:space="preserve">d to as the ‘sick chicken’ case, </w:t>
      </w:r>
      <w:r w:rsidR="00513AA1" w:rsidRPr="00A3176F">
        <w:rPr>
          <w:rFonts w:ascii="Times New Roman" w:hAnsi="Times New Roman" w:cs="Times New Roman"/>
        </w:rPr>
        <w:t xml:space="preserve">because </w:t>
      </w:r>
      <w:r w:rsidR="009F679C" w:rsidRPr="00A3176F">
        <w:rPr>
          <w:rFonts w:ascii="Times New Roman" w:hAnsi="Times New Roman" w:cs="Times New Roman"/>
        </w:rPr>
        <w:t>one of the</w:t>
      </w:r>
      <w:r w:rsidR="00513AA1" w:rsidRPr="00A3176F">
        <w:rPr>
          <w:rFonts w:ascii="Times New Roman" w:hAnsi="Times New Roman" w:cs="Times New Roman"/>
        </w:rPr>
        <w:t xml:space="preserve"> overturned convictions related</w:t>
      </w:r>
      <w:r w:rsidR="009F679C" w:rsidRPr="00A3176F">
        <w:rPr>
          <w:rFonts w:ascii="Times New Roman" w:hAnsi="Times New Roman" w:cs="Times New Roman"/>
        </w:rPr>
        <w:t xml:space="preserve"> to</w:t>
      </w:r>
      <w:r w:rsidR="00513AA1" w:rsidRPr="00A3176F">
        <w:rPr>
          <w:rFonts w:ascii="Times New Roman" w:hAnsi="Times New Roman" w:cs="Times New Roman"/>
        </w:rPr>
        <w:t xml:space="preserve"> the sale of a diseased bird, the company showing contempt for workers and consumers in equal measure.  </w:t>
      </w:r>
      <w:r w:rsidR="009F679C" w:rsidRPr="00A3176F">
        <w:rPr>
          <w:rFonts w:ascii="Times New Roman" w:hAnsi="Times New Roman" w:cs="Times New Roman"/>
        </w:rPr>
        <w:t xml:space="preserve">It was to lead to a major revision of US labor law and the replacement of NIRA with the National Labor Relations Act of 1935, </w:t>
      </w:r>
      <w:r w:rsidR="00E16895" w:rsidRPr="00A3176F">
        <w:rPr>
          <w:rFonts w:ascii="Times New Roman" w:hAnsi="Times New Roman" w:cs="Times New Roman"/>
        </w:rPr>
        <w:t>which also professed Keynesian objectives in its text:</w:t>
      </w:r>
    </w:p>
    <w:p w14:paraId="3691586F" w14:textId="7E88C3E6" w:rsidR="0094263C" w:rsidRPr="00A3176F" w:rsidRDefault="0094263C" w:rsidP="0094263C">
      <w:pPr>
        <w:pStyle w:val="NormalWeb"/>
        <w:ind w:left="720"/>
        <w:rPr>
          <w:rFonts w:ascii="Times New Roman" w:hAnsi="Times New Roman"/>
          <w:sz w:val="24"/>
          <w:szCs w:val="24"/>
        </w:rPr>
      </w:pPr>
      <w:r w:rsidRPr="00A3176F">
        <w:rPr>
          <w:rFonts w:ascii="Times New Roman" w:hAnsi="Times New Roman"/>
          <w:sz w:val="24"/>
          <w:szCs w:val="24"/>
        </w:rPr>
        <w:t xml:space="preserve">The inequality of bargaining power between employees who do not possess full freedom of association or actual liberty of contract, and employers who are organized in the corporate or other forms of ownership association substantially burdens and affects the flow of commerce, and tends to aggravate recurrent business depressions, by depressing wage rates and the purchasing power of wage earners in industry and by preventing the stabilization of competitive wage rates and working conditions within and between industries. </w:t>
      </w:r>
    </w:p>
    <w:p w14:paraId="248D7862" w14:textId="7B1CD7AC" w:rsidR="00A73A8A" w:rsidRPr="00A3176F" w:rsidRDefault="0094263C">
      <w:pPr>
        <w:rPr>
          <w:rFonts w:ascii="Times New Roman" w:hAnsi="Times New Roman" w:cs="Times New Roman"/>
        </w:rPr>
      </w:pPr>
      <w:r w:rsidRPr="00A3176F">
        <w:rPr>
          <w:rFonts w:ascii="Times New Roman" w:hAnsi="Times New Roman" w:cs="Times New Roman"/>
        </w:rPr>
        <w:t xml:space="preserve">The NLRA was crucial, however, in diluting union </w:t>
      </w:r>
      <w:r w:rsidR="00434F31" w:rsidRPr="00A3176F">
        <w:rPr>
          <w:rFonts w:ascii="Times New Roman" w:hAnsi="Times New Roman" w:cs="Times New Roman"/>
        </w:rPr>
        <w:t>influence</w:t>
      </w:r>
      <w:r w:rsidRPr="00A3176F">
        <w:rPr>
          <w:rFonts w:ascii="Times New Roman" w:hAnsi="Times New Roman" w:cs="Times New Roman"/>
        </w:rPr>
        <w:t xml:space="preserve"> and the regulatory impact of labor unions.  So whereas the NIRA </w:t>
      </w:r>
      <w:r w:rsidR="00513AA1" w:rsidRPr="00A3176F">
        <w:rPr>
          <w:rFonts w:ascii="Times New Roman" w:hAnsi="Times New Roman" w:cs="Times New Roman"/>
        </w:rPr>
        <w:t>set mandatory</w:t>
      </w:r>
      <w:r w:rsidRPr="00A3176F">
        <w:rPr>
          <w:rFonts w:ascii="Times New Roman" w:hAnsi="Times New Roman" w:cs="Times New Roman"/>
        </w:rPr>
        <w:t xml:space="preserve"> sectoral </w:t>
      </w:r>
      <w:r w:rsidR="00513AA1" w:rsidRPr="00A3176F">
        <w:rPr>
          <w:rFonts w:ascii="Times New Roman" w:hAnsi="Times New Roman" w:cs="Times New Roman"/>
        </w:rPr>
        <w:t xml:space="preserve">labour standards, the NLRA confined union </w:t>
      </w:r>
      <w:r w:rsidRPr="00A3176F">
        <w:rPr>
          <w:rFonts w:ascii="Times New Roman" w:hAnsi="Times New Roman" w:cs="Times New Roman"/>
        </w:rPr>
        <w:t>voice to the enterprise.  Yes</w:t>
      </w:r>
      <w:r w:rsidR="00434F31" w:rsidRPr="00A3176F">
        <w:rPr>
          <w:rFonts w:ascii="Times New Roman" w:hAnsi="Times New Roman" w:cs="Times New Roman"/>
        </w:rPr>
        <w:t>,</w:t>
      </w:r>
      <w:r w:rsidRPr="00A3176F">
        <w:rPr>
          <w:rFonts w:ascii="Times New Roman" w:hAnsi="Times New Roman" w:cs="Times New Roman"/>
        </w:rPr>
        <w:t xml:space="preserve"> there is strong stuff in the NLRA about the right to organize and the right to bargain collectively;</w:t>
      </w:r>
      <w:r w:rsidR="00BA46DB" w:rsidRPr="00A3176F">
        <w:rPr>
          <w:rStyle w:val="FootnoteReference"/>
          <w:rFonts w:ascii="Times New Roman" w:hAnsi="Times New Roman" w:cs="Times New Roman"/>
        </w:rPr>
        <w:footnoteReference w:id="6"/>
      </w:r>
      <w:r w:rsidRPr="00A3176F">
        <w:rPr>
          <w:rFonts w:ascii="Times New Roman" w:hAnsi="Times New Roman" w:cs="Times New Roman"/>
        </w:rPr>
        <w:t xml:space="preserve"> but in the latter case that right was diminished by the need for majority support among the ‘unit of employees’ the union sought to represent.</w:t>
      </w:r>
      <w:r w:rsidR="00BA46DB" w:rsidRPr="00A3176F">
        <w:rPr>
          <w:rStyle w:val="FootnoteReference"/>
          <w:rFonts w:ascii="Times New Roman" w:hAnsi="Times New Roman" w:cs="Times New Roman"/>
        </w:rPr>
        <w:footnoteReference w:id="7"/>
      </w:r>
      <w:r w:rsidRPr="00A3176F">
        <w:rPr>
          <w:rFonts w:ascii="Times New Roman" w:hAnsi="Times New Roman" w:cs="Times New Roman"/>
        </w:rPr>
        <w:t xml:space="preserve">  Representation was now atomized and</w:t>
      </w:r>
      <w:r w:rsidR="00A73A8A" w:rsidRPr="00A3176F">
        <w:rPr>
          <w:rFonts w:ascii="Times New Roman" w:hAnsi="Times New Roman" w:cs="Times New Roman"/>
        </w:rPr>
        <w:t xml:space="preserve"> fragmented; unio</w:t>
      </w:r>
      <w:r w:rsidRPr="00A3176F">
        <w:rPr>
          <w:rFonts w:ascii="Times New Roman" w:hAnsi="Times New Roman" w:cs="Times New Roman"/>
        </w:rPr>
        <w:t>ns had to</w:t>
      </w:r>
      <w:r w:rsidR="00A73A8A" w:rsidRPr="00A3176F">
        <w:rPr>
          <w:rFonts w:ascii="Times New Roman" w:hAnsi="Times New Roman" w:cs="Times New Roman"/>
        </w:rPr>
        <w:t xml:space="preserve"> win company by company</w:t>
      </w:r>
      <w:r w:rsidR="000D6416" w:rsidRPr="00A3176F">
        <w:rPr>
          <w:rFonts w:ascii="Times New Roman" w:hAnsi="Times New Roman" w:cs="Times New Roman"/>
        </w:rPr>
        <w:t xml:space="preserve"> by company</w:t>
      </w:r>
      <w:r w:rsidR="00A73A8A" w:rsidRPr="00A3176F">
        <w:rPr>
          <w:rFonts w:ascii="Times New Roman" w:hAnsi="Times New Roman" w:cs="Times New Roman"/>
        </w:rPr>
        <w:t>.</w:t>
      </w:r>
    </w:p>
    <w:p w14:paraId="36E9202E" w14:textId="77777777" w:rsidR="00A73A8A" w:rsidRPr="00A3176F" w:rsidRDefault="00A73A8A">
      <w:pPr>
        <w:rPr>
          <w:rFonts w:ascii="Times New Roman" w:hAnsi="Times New Roman" w:cs="Times New Roman"/>
        </w:rPr>
      </w:pPr>
    </w:p>
    <w:p w14:paraId="59E5FCD4" w14:textId="51FD5848" w:rsidR="00EF7756" w:rsidRPr="00A3176F" w:rsidRDefault="00593191">
      <w:pPr>
        <w:rPr>
          <w:rFonts w:ascii="Times New Roman" w:hAnsi="Times New Roman" w:cs="Times New Roman"/>
          <w:color w:val="262626"/>
        </w:rPr>
      </w:pPr>
      <w:r w:rsidRPr="00A3176F">
        <w:rPr>
          <w:rFonts w:ascii="Times New Roman" w:hAnsi="Times New Roman" w:cs="Times New Roman"/>
        </w:rPr>
        <w:t>Yet w</w:t>
      </w:r>
      <w:r w:rsidR="00A73A8A" w:rsidRPr="00A3176F">
        <w:rPr>
          <w:rFonts w:ascii="Times New Roman" w:hAnsi="Times New Roman" w:cs="Times New Roman"/>
        </w:rPr>
        <w:t xml:space="preserve">hile the NLRA was being rescued from the debris of the NIRA after the </w:t>
      </w:r>
      <w:r w:rsidR="00A73A8A" w:rsidRPr="00A3176F">
        <w:rPr>
          <w:rFonts w:ascii="Times New Roman" w:hAnsi="Times New Roman" w:cs="Times New Roman"/>
          <w:i/>
          <w:color w:val="262626"/>
        </w:rPr>
        <w:t>Schechter Poultry</w:t>
      </w:r>
      <w:r w:rsidR="00A73A8A" w:rsidRPr="00A3176F">
        <w:rPr>
          <w:rFonts w:ascii="Times New Roman" w:hAnsi="Times New Roman" w:cs="Times New Roman"/>
          <w:color w:val="262626"/>
        </w:rPr>
        <w:t xml:space="preserve"> case, </w:t>
      </w:r>
      <w:r w:rsidR="00647886" w:rsidRPr="00A3176F">
        <w:rPr>
          <w:rFonts w:ascii="Times New Roman" w:hAnsi="Times New Roman" w:cs="Times New Roman"/>
          <w:color w:val="262626"/>
        </w:rPr>
        <w:t>sector wide regulation was being revived in the United Kingdom,</w:t>
      </w:r>
      <w:r w:rsidR="00513AA1" w:rsidRPr="00A3176F">
        <w:rPr>
          <w:rStyle w:val="FootnoteReference"/>
          <w:rFonts w:ascii="Times New Roman" w:hAnsi="Times New Roman" w:cs="Times New Roman"/>
          <w:color w:val="262626"/>
        </w:rPr>
        <w:footnoteReference w:id="8"/>
      </w:r>
      <w:r w:rsidR="00647886" w:rsidRPr="00A3176F">
        <w:rPr>
          <w:rFonts w:ascii="Times New Roman" w:hAnsi="Times New Roman" w:cs="Times New Roman"/>
          <w:color w:val="262626"/>
        </w:rPr>
        <w:t xml:space="preserve"> where there were no </w:t>
      </w:r>
      <w:r w:rsidR="006514F9" w:rsidRPr="00A3176F">
        <w:rPr>
          <w:rFonts w:ascii="Times New Roman" w:hAnsi="Times New Roman" w:cs="Times New Roman"/>
          <w:color w:val="262626"/>
        </w:rPr>
        <w:t>constitutional impediments to its development (at least not of</w:t>
      </w:r>
      <w:r w:rsidR="00434F31" w:rsidRPr="00A3176F">
        <w:rPr>
          <w:rFonts w:ascii="Times New Roman" w:hAnsi="Times New Roman" w:cs="Times New Roman"/>
          <w:color w:val="262626"/>
        </w:rPr>
        <w:t xml:space="preserve"> the kind operating in the US).   </w:t>
      </w:r>
      <w:r w:rsidRPr="00A3176F">
        <w:rPr>
          <w:rFonts w:ascii="Times New Roman" w:hAnsi="Times New Roman" w:cs="Times New Roman"/>
          <w:color w:val="262626"/>
        </w:rPr>
        <w:t>The functional equivalent in the British system of NIRA</w:t>
      </w:r>
      <w:r w:rsidR="00513AA1" w:rsidRPr="00A3176F">
        <w:rPr>
          <w:rFonts w:ascii="Times New Roman" w:hAnsi="Times New Roman" w:cs="Times New Roman"/>
          <w:color w:val="262626"/>
        </w:rPr>
        <w:t>’s industry codes</w:t>
      </w:r>
      <w:r w:rsidRPr="00A3176F">
        <w:rPr>
          <w:rFonts w:ascii="Times New Roman" w:hAnsi="Times New Roman" w:cs="Times New Roman"/>
          <w:color w:val="262626"/>
        </w:rPr>
        <w:t xml:space="preserve"> were the </w:t>
      </w:r>
      <w:r w:rsidR="00EF7756" w:rsidRPr="00A3176F">
        <w:rPr>
          <w:rFonts w:ascii="Times New Roman" w:hAnsi="Times New Roman" w:cs="Times New Roman"/>
          <w:color w:val="262626"/>
        </w:rPr>
        <w:t>Joint Industrial Councils that had been recommended by the Whitley Committee in 1917, but which had been allowed to wither in the 1920s.</w:t>
      </w:r>
      <w:r w:rsidR="00513AA1" w:rsidRPr="00A3176F">
        <w:rPr>
          <w:rStyle w:val="FootnoteReference"/>
          <w:rFonts w:ascii="Times New Roman" w:hAnsi="Times New Roman" w:cs="Times New Roman"/>
          <w:color w:val="262626"/>
        </w:rPr>
        <w:footnoteReference w:id="9"/>
      </w:r>
      <w:r w:rsidR="00EF7756" w:rsidRPr="00A3176F">
        <w:rPr>
          <w:rFonts w:ascii="Times New Roman" w:hAnsi="Times New Roman" w:cs="Times New Roman"/>
          <w:color w:val="262626"/>
        </w:rPr>
        <w:t xml:space="preserve">   </w:t>
      </w:r>
    </w:p>
    <w:p w14:paraId="0086CD70" w14:textId="77777777" w:rsidR="00EF7756" w:rsidRPr="00A3176F" w:rsidRDefault="00EF7756">
      <w:pPr>
        <w:rPr>
          <w:rFonts w:ascii="Times New Roman" w:hAnsi="Times New Roman" w:cs="Times New Roman"/>
          <w:color w:val="262626"/>
        </w:rPr>
      </w:pPr>
    </w:p>
    <w:p w14:paraId="1F3A8514" w14:textId="3D9632B6" w:rsidR="0094263C" w:rsidRPr="00A3176F" w:rsidRDefault="00513AA1">
      <w:pPr>
        <w:rPr>
          <w:rFonts w:ascii="Times New Roman" w:hAnsi="Times New Roman" w:cs="Times New Roman"/>
        </w:rPr>
      </w:pPr>
      <w:r w:rsidRPr="00A3176F">
        <w:rPr>
          <w:rFonts w:ascii="Times New Roman" w:hAnsi="Times New Roman" w:cs="Times New Roman"/>
          <w:color w:val="262626"/>
        </w:rPr>
        <w:t>So</w:t>
      </w:r>
      <w:r w:rsidR="00EF7756" w:rsidRPr="00A3176F">
        <w:rPr>
          <w:rFonts w:ascii="Times New Roman" w:hAnsi="Times New Roman" w:cs="Times New Roman"/>
          <w:color w:val="262626"/>
        </w:rPr>
        <w:t xml:space="preserve"> the same economic logic that led to</w:t>
      </w:r>
      <w:r w:rsidR="00434F31" w:rsidRPr="00A3176F">
        <w:rPr>
          <w:rFonts w:ascii="Times New Roman" w:hAnsi="Times New Roman" w:cs="Times New Roman"/>
          <w:color w:val="262626"/>
        </w:rPr>
        <w:t xml:space="preserve"> the introduction of</w:t>
      </w:r>
      <w:r w:rsidR="00EF7756" w:rsidRPr="00A3176F">
        <w:rPr>
          <w:rFonts w:ascii="Times New Roman" w:hAnsi="Times New Roman" w:cs="Times New Roman"/>
          <w:color w:val="262626"/>
        </w:rPr>
        <w:t xml:space="preserve"> NIRA in the US in 1933 led to the revival</w:t>
      </w:r>
      <w:r w:rsidR="00E72ED0" w:rsidRPr="00A3176F">
        <w:rPr>
          <w:rFonts w:ascii="Times New Roman" w:hAnsi="Times New Roman" w:cs="Times New Roman"/>
          <w:color w:val="262626"/>
        </w:rPr>
        <w:t xml:space="preserve"> in the UK</w:t>
      </w:r>
      <w:r w:rsidR="00434F31" w:rsidRPr="00A3176F">
        <w:rPr>
          <w:rFonts w:ascii="Times New Roman" w:hAnsi="Times New Roman" w:cs="Times New Roman"/>
          <w:color w:val="262626"/>
        </w:rPr>
        <w:t xml:space="preserve"> of the Joint Industrial Council</w:t>
      </w:r>
      <w:r w:rsidR="00EF7756" w:rsidRPr="00A3176F">
        <w:rPr>
          <w:rFonts w:ascii="Times New Roman" w:hAnsi="Times New Roman" w:cs="Times New Roman"/>
          <w:color w:val="262626"/>
        </w:rPr>
        <w:t>s in 1934 under the stewardship of the Ministry o</w:t>
      </w:r>
      <w:r w:rsidR="00E72ED0" w:rsidRPr="00A3176F">
        <w:rPr>
          <w:rFonts w:ascii="Times New Roman" w:hAnsi="Times New Roman" w:cs="Times New Roman"/>
          <w:color w:val="262626"/>
        </w:rPr>
        <w:t>f Labour (long since abolished, but badly in need of revival).</w:t>
      </w:r>
      <w:r w:rsidR="00BA51DB" w:rsidRPr="00A3176F">
        <w:rPr>
          <w:rFonts w:ascii="Times New Roman" w:hAnsi="Times New Roman" w:cs="Times New Roman"/>
          <w:color w:val="262626"/>
        </w:rPr>
        <w:t xml:space="preserve">   </w:t>
      </w:r>
      <w:r w:rsidR="00434F31" w:rsidRPr="00A3176F">
        <w:rPr>
          <w:rFonts w:ascii="Times New Roman" w:hAnsi="Times New Roman" w:cs="Times New Roman"/>
          <w:color w:val="262626"/>
        </w:rPr>
        <w:t>With the act</w:t>
      </w:r>
      <w:r w:rsidRPr="00A3176F">
        <w:rPr>
          <w:rFonts w:ascii="Times New Roman" w:hAnsi="Times New Roman" w:cs="Times New Roman"/>
          <w:color w:val="262626"/>
        </w:rPr>
        <w:t xml:space="preserve">ive bureaucratic support of </w:t>
      </w:r>
      <w:r w:rsidR="00434F31" w:rsidRPr="00A3176F">
        <w:rPr>
          <w:rFonts w:ascii="Times New Roman" w:hAnsi="Times New Roman" w:cs="Times New Roman"/>
          <w:color w:val="262626"/>
        </w:rPr>
        <w:t>Ministry</w:t>
      </w:r>
      <w:r w:rsidRPr="00A3176F">
        <w:rPr>
          <w:rFonts w:ascii="Times New Roman" w:hAnsi="Times New Roman" w:cs="Times New Roman"/>
          <w:color w:val="262626"/>
        </w:rPr>
        <w:t xml:space="preserve"> officials</w:t>
      </w:r>
      <w:r w:rsidR="00BA51DB" w:rsidRPr="00A3176F">
        <w:rPr>
          <w:rFonts w:ascii="Times New Roman" w:hAnsi="Times New Roman" w:cs="Times New Roman"/>
          <w:color w:val="262626"/>
        </w:rPr>
        <w:t>, collective bargaining coverage expanded</w:t>
      </w:r>
      <w:r w:rsidRPr="00A3176F">
        <w:rPr>
          <w:rFonts w:ascii="Times New Roman" w:hAnsi="Times New Roman" w:cs="Times New Roman"/>
          <w:color w:val="262626"/>
        </w:rPr>
        <w:t xml:space="preserve"> dramatically</w:t>
      </w:r>
      <w:r w:rsidR="000D6416" w:rsidRPr="00A3176F">
        <w:rPr>
          <w:rFonts w:ascii="Times New Roman" w:hAnsi="Times New Roman" w:cs="Times New Roman"/>
          <w:color w:val="262626"/>
        </w:rPr>
        <w:t>, with the result</w:t>
      </w:r>
      <w:r w:rsidR="00BA51DB" w:rsidRPr="00A3176F">
        <w:rPr>
          <w:rFonts w:ascii="Times New Roman" w:hAnsi="Times New Roman" w:cs="Times New Roman"/>
          <w:color w:val="262626"/>
        </w:rPr>
        <w:t xml:space="preserve"> that by 1946 some 86% of British workers were covered by either a collective agreement negotiated by a JIC, or a wages order conclud</w:t>
      </w:r>
      <w:r w:rsidR="00B5385F" w:rsidRPr="00A3176F">
        <w:rPr>
          <w:rFonts w:ascii="Times New Roman" w:hAnsi="Times New Roman" w:cs="Times New Roman"/>
          <w:color w:val="262626"/>
        </w:rPr>
        <w:t>ed by a statutory trade board or wages council</w:t>
      </w:r>
      <w:r w:rsidR="00BA51DB" w:rsidRPr="00A3176F">
        <w:rPr>
          <w:rFonts w:ascii="Times New Roman" w:hAnsi="Times New Roman" w:cs="Times New Roman"/>
          <w:color w:val="262626"/>
        </w:rPr>
        <w:t>.</w:t>
      </w:r>
    </w:p>
    <w:p w14:paraId="3AB858C1" w14:textId="77777777" w:rsidR="002128F7" w:rsidRPr="00A3176F" w:rsidRDefault="002128F7">
      <w:pPr>
        <w:rPr>
          <w:rFonts w:ascii="Times New Roman" w:hAnsi="Times New Roman" w:cs="Times New Roman"/>
        </w:rPr>
      </w:pPr>
    </w:p>
    <w:p w14:paraId="600F31E6" w14:textId="6430D9FD" w:rsidR="000D6416" w:rsidRPr="00A3176F" w:rsidRDefault="002128F7" w:rsidP="00513AA1">
      <w:pPr>
        <w:rPr>
          <w:rFonts w:ascii="Times New Roman" w:hAnsi="Times New Roman" w:cs="Times New Roman"/>
          <w:color w:val="262626"/>
        </w:rPr>
      </w:pPr>
      <w:r w:rsidRPr="00A3176F">
        <w:rPr>
          <w:rFonts w:ascii="Times New Roman" w:hAnsi="Times New Roman" w:cs="Times New Roman"/>
        </w:rPr>
        <w:t xml:space="preserve">By the end of the Second World War there were thus two ways by which </w:t>
      </w:r>
      <w:r w:rsidR="000D6416" w:rsidRPr="00A3176F">
        <w:rPr>
          <w:rFonts w:ascii="Times New Roman" w:hAnsi="Times New Roman" w:cs="Times New Roman"/>
        </w:rPr>
        <w:t xml:space="preserve">western industrialised </w:t>
      </w:r>
      <w:r w:rsidRPr="00A3176F">
        <w:rPr>
          <w:rFonts w:ascii="Times New Roman" w:hAnsi="Times New Roman" w:cs="Times New Roman"/>
        </w:rPr>
        <w:t xml:space="preserve">nations could promote the </w:t>
      </w:r>
      <w:r w:rsidR="00513AA1" w:rsidRPr="00A3176F">
        <w:rPr>
          <w:rFonts w:ascii="Times New Roman" w:hAnsi="Times New Roman" w:cs="Times New Roman"/>
        </w:rPr>
        <w:t xml:space="preserve">provisions of </w:t>
      </w:r>
      <w:r w:rsidRPr="00A3176F">
        <w:rPr>
          <w:rFonts w:ascii="Times New Roman" w:hAnsi="Times New Roman" w:cs="Times New Roman"/>
        </w:rPr>
        <w:t xml:space="preserve">the ILO’s </w:t>
      </w:r>
      <w:r w:rsidR="00BA46DB" w:rsidRPr="00A3176F">
        <w:rPr>
          <w:rFonts w:ascii="Times New Roman" w:hAnsi="Times New Roman" w:cs="Times New Roman"/>
        </w:rPr>
        <w:t xml:space="preserve">new </w:t>
      </w:r>
      <w:r w:rsidRPr="00A3176F">
        <w:rPr>
          <w:rFonts w:ascii="Times New Roman" w:hAnsi="Times New Roman" w:cs="Times New Roman"/>
        </w:rPr>
        <w:t>Decl</w:t>
      </w:r>
      <w:r w:rsidR="004E0106" w:rsidRPr="00A3176F">
        <w:rPr>
          <w:rFonts w:ascii="Times New Roman" w:hAnsi="Times New Roman" w:cs="Times New Roman"/>
        </w:rPr>
        <w:t xml:space="preserve">aration of Philadelphia of 1944, </w:t>
      </w:r>
      <w:r w:rsidR="00513AA1" w:rsidRPr="00A3176F">
        <w:rPr>
          <w:rFonts w:ascii="Times New Roman" w:hAnsi="Times New Roman" w:cs="Times New Roman"/>
        </w:rPr>
        <w:t>committing member States to ‘</w:t>
      </w:r>
      <w:r w:rsidR="00513AA1" w:rsidRPr="00A3176F">
        <w:rPr>
          <w:rFonts w:ascii="Times New Roman" w:hAnsi="Times New Roman" w:cs="Times New Roman"/>
          <w:color w:val="262626"/>
        </w:rPr>
        <w:t>the effective recognition of the right of collective bargaining</w:t>
      </w:r>
      <w:r w:rsidR="000D6416" w:rsidRPr="00A3176F">
        <w:rPr>
          <w:rFonts w:ascii="Times New Roman" w:hAnsi="Times New Roman" w:cs="Times New Roman"/>
          <w:color w:val="262626"/>
        </w:rPr>
        <w:t xml:space="preserve">.   There was the American way or the British way.  Both had been developed with the same aim – to raise wages, to equalize incomes, to stimulate demand is depressed economies, to increase employment, and to reduce welfare dependency.   </w:t>
      </w:r>
    </w:p>
    <w:p w14:paraId="34F98884" w14:textId="77777777" w:rsidR="000D6416" w:rsidRPr="00A3176F" w:rsidRDefault="000D6416" w:rsidP="00513AA1">
      <w:pPr>
        <w:rPr>
          <w:rFonts w:ascii="Times New Roman" w:hAnsi="Times New Roman" w:cs="Times New Roman"/>
          <w:color w:val="262626"/>
        </w:rPr>
      </w:pPr>
    </w:p>
    <w:p w14:paraId="082C7551" w14:textId="0B8B9285" w:rsidR="00EE7496" w:rsidRPr="00A3176F" w:rsidRDefault="00EE7496" w:rsidP="00EE7496">
      <w:pPr>
        <w:rPr>
          <w:rFonts w:ascii="Times New Roman" w:hAnsi="Times New Roman" w:cs="Times New Roman"/>
          <w:color w:val="262626"/>
        </w:rPr>
      </w:pPr>
      <w:r w:rsidRPr="00A3176F">
        <w:rPr>
          <w:rFonts w:ascii="Times New Roman" w:hAnsi="Times New Roman" w:cs="Times New Roman"/>
          <w:color w:val="262626"/>
        </w:rPr>
        <w:t xml:space="preserve">This new orthodoxy was enshrined in the </w:t>
      </w:r>
      <w:r w:rsidR="000D6416" w:rsidRPr="00A3176F">
        <w:rPr>
          <w:rFonts w:ascii="Times New Roman" w:hAnsi="Times New Roman" w:cs="Times New Roman"/>
          <w:color w:val="262626"/>
        </w:rPr>
        <w:t>ILO’s new Declaration</w:t>
      </w:r>
      <w:r w:rsidRPr="00A3176F">
        <w:rPr>
          <w:rFonts w:ascii="Times New Roman" w:hAnsi="Times New Roman" w:cs="Times New Roman"/>
          <w:color w:val="262626"/>
        </w:rPr>
        <w:t xml:space="preserve">, the promotion of effective collective bargaining being a key lever </w:t>
      </w:r>
    </w:p>
    <w:p w14:paraId="2DE86C12" w14:textId="77777777" w:rsidR="00EE7496" w:rsidRPr="00A3176F" w:rsidRDefault="00EE7496" w:rsidP="00EE7496">
      <w:pPr>
        <w:rPr>
          <w:rFonts w:ascii="Times New Roman" w:hAnsi="Times New Roman" w:cs="Times New Roman"/>
          <w:color w:val="262626"/>
        </w:rPr>
      </w:pPr>
    </w:p>
    <w:p w14:paraId="4D31C8D1" w14:textId="073E2389" w:rsidR="002128F7" w:rsidRPr="00A3176F" w:rsidRDefault="004E0106" w:rsidP="00EE7496">
      <w:pPr>
        <w:ind w:left="720"/>
        <w:rPr>
          <w:rFonts w:ascii="Times New Roman" w:hAnsi="Times New Roman" w:cs="Times New Roman"/>
        </w:rPr>
      </w:pPr>
      <w:r w:rsidRPr="00A3176F">
        <w:rPr>
          <w:rFonts w:ascii="Times New Roman" w:hAnsi="Times New Roman" w:cs="Times New Roman"/>
          <w:color w:val="262626"/>
        </w:rPr>
        <w:t>to expand production and consumption, to avoid severe economic fluctuations to promote the economic and social advancement of the less developed regions of the world, to assure greater stability in world prices of primary products, and to promote a high and steady volume of international trade</w:t>
      </w:r>
      <w:r w:rsidR="00BA46DB" w:rsidRPr="00A3176F">
        <w:rPr>
          <w:rFonts w:ascii="Times New Roman" w:hAnsi="Times New Roman" w:cs="Times New Roman"/>
          <w:color w:val="262626"/>
        </w:rPr>
        <w:t>.</w:t>
      </w:r>
      <w:r w:rsidR="002128F7" w:rsidRPr="00A3176F">
        <w:rPr>
          <w:rFonts w:ascii="Times New Roman" w:hAnsi="Times New Roman" w:cs="Times New Roman"/>
        </w:rPr>
        <w:t xml:space="preserve">   </w:t>
      </w:r>
    </w:p>
    <w:p w14:paraId="74AA4EE3" w14:textId="77777777" w:rsidR="000D6416" w:rsidRPr="00A3176F" w:rsidRDefault="000D6416" w:rsidP="000D6416">
      <w:pPr>
        <w:rPr>
          <w:rFonts w:ascii="Times New Roman" w:hAnsi="Times New Roman" w:cs="Times New Roman"/>
        </w:rPr>
      </w:pPr>
    </w:p>
    <w:p w14:paraId="44A1507A" w14:textId="7917E79F" w:rsidR="000D6416" w:rsidRPr="00A3176F" w:rsidRDefault="000D6416" w:rsidP="000D6416">
      <w:pPr>
        <w:rPr>
          <w:rFonts w:ascii="Times New Roman" w:hAnsi="Times New Roman" w:cs="Times New Roman"/>
          <w:color w:val="262626"/>
        </w:rPr>
      </w:pPr>
      <w:r w:rsidRPr="00A3176F">
        <w:rPr>
          <w:rFonts w:ascii="Times New Roman" w:hAnsi="Times New Roman" w:cs="Times New Roman"/>
        </w:rPr>
        <w:t>But it was not the only lever, the Declaration of Philadelphia also committing nations to promote</w:t>
      </w:r>
      <w:r w:rsidRPr="00A3176F">
        <w:rPr>
          <w:rFonts w:ascii="Times New Roman" w:hAnsi="Times New Roman" w:cs="Times New Roman"/>
          <w:color w:val="262626"/>
        </w:rPr>
        <w:t xml:space="preserve"> ‘the cooperation of management and labour in the continuous improvement of productive efficiency, and the collaboration of workers and employers in the preparation and application of social and economic measures’.</w:t>
      </w:r>
    </w:p>
    <w:p w14:paraId="254D47CA" w14:textId="77777777" w:rsidR="004E0106" w:rsidRPr="00A3176F" w:rsidRDefault="004E0106">
      <w:pPr>
        <w:rPr>
          <w:rFonts w:ascii="Times New Roman" w:hAnsi="Times New Roman" w:cs="Times New Roman"/>
        </w:rPr>
      </w:pPr>
    </w:p>
    <w:p w14:paraId="4886BA71" w14:textId="77777777" w:rsidR="00EE7496" w:rsidRPr="00A3176F" w:rsidRDefault="00EE7496">
      <w:pPr>
        <w:rPr>
          <w:rFonts w:ascii="Times New Roman" w:hAnsi="Times New Roman" w:cs="Times New Roman"/>
          <w:color w:val="262626"/>
        </w:rPr>
      </w:pPr>
    </w:p>
    <w:p w14:paraId="20C7C8A8" w14:textId="77777777" w:rsidR="004E0106" w:rsidRPr="00A3176F" w:rsidRDefault="004E0106" w:rsidP="00901E6C">
      <w:pPr>
        <w:jc w:val="center"/>
        <w:rPr>
          <w:rFonts w:ascii="Times New Roman" w:hAnsi="Times New Roman" w:cs="Times New Roman"/>
          <w:b/>
          <w:color w:val="262626"/>
        </w:rPr>
      </w:pPr>
      <w:r w:rsidRPr="00A3176F">
        <w:rPr>
          <w:rFonts w:ascii="Times New Roman" w:hAnsi="Times New Roman" w:cs="Times New Roman"/>
          <w:b/>
          <w:color w:val="262626"/>
        </w:rPr>
        <w:t>III</w:t>
      </w:r>
    </w:p>
    <w:p w14:paraId="0D05399D" w14:textId="77777777" w:rsidR="004E0106" w:rsidRPr="00A3176F" w:rsidRDefault="004E0106">
      <w:pPr>
        <w:rPr>
          <w:rFonts w:ascii="Times New Roman" w:hAnsi="Times New Roman" w:cs="Times New Roman"/>
          <w:color w:val="262626"/>
        </w:rPr>
      </w:pPr>
    </w:p>
    <w:p w14:paraId="4ABA4B44" w14:textId="5AE9C1C4" w:rsidR="00901E6C" w:rsidRPr="00A3176F" w:rsidRDefault="000D6416">
      <w:pPr>
        <w:rPr>
          <w:rFonts w:ascii="Times New Roman" w:hAnsi="Times New Roman" w:cs="Times New Roman"/>
          <w:color w:val="262626"/>
        </w:rPr>
      </w:pPr>
      <w:r w:rsidRPr="00A3176F">
        <w:rPr>
          <w:rFonts w:ascii="Times New Roman" w:hAnsi="Times New Roman" w:cs="Times New Roman"/>
          <w:color w:val="262626"/>
        </w:rPr>
        <w:t>Post</w:t>
      </w:r>
      <w:r w:rsidR="004E0106" w:rsidRPr="00A3176F">
        <w:rPr>
          <w:rFonts w:ascii="Times New Roman" w:hAnsi="Times New Roman" w:cs="Times New Roman"/>
          <w:color w:val="262626"/>
        </w:rPr>
        <w:t xml:space="preserve"> war reconstruction </w:t>
      </w:r>
      <w:r w:rsidRPr="00A3176F">
        <w:rPr>
          <w:rFonts w:ascii="Times New Roman" w:hAnsi="Times New Roman" w:cs="Times New Roman"/>
          <w:color w:val="262626"/>
        </w:rPr>
        <w:t>saw major divisions in collective bargaining policy.   In Europe a system emerged reflecting (coincidentally or not) in large measure something like the British model, albeit with important modifications at enterprise level.</w:t>
      </w:r>
      <w:r w:rsidRPr="00A3176F">
        <w:rPr>
          <w:rStyle w:val="FootnoteReference"/>
          <w:rFonts w:ascii="Times New Roman" w:hAnsi="Times New Roman" w:cs="Times New Roman"/>
          <w:color w:val="262626"/>
        </w:rPr>
        <w:footnoteReference w:id="10"/>
      </w:r>
      <w:r w:rsidRPr="00A3176F">
        <w:rPr>
          <w:rFonts w:ascii="Times New Roman" w:hAnsi="Times New Roman" w:cs="Times New Roman"/>
          <w:color w:val="262626"/>
        </w:rPr>
        <w:t xml:space="preserve">   And in other parts of the world such as Australia and New Zealand, highly centralized structures continued in place.  The Americans in contrast</w:t>
      </w:r>
      <w:r w:rsidR="004E0106" w:rsidRPr="00A3176F">
        <w:rPr>
          <w:rFonts w:ascii="Times New Roman" w:hAnsi="Times New Roman" w:cs="Times New Roman"/>
          <w:color w:val="262626"/>
        </w:rPr>
        <w:t xml:space="preserve"> imposed a version of their model on Japan,</w:t>
      </w:r>
      <w:r w:rsidR="00BA46DB" w:rsidRPr="00A3176F">
        <w:rPr>
          <w:rStyle w:val="FootnoteReference"/>
          <w:rFonts w:ascii="Times New Roman" w:hAnsi="Times New Roman" w:cs="Times New Roman"/>
          <w:color w:val="262626"/>
        </w:rPr>
        <w:footnoteReference w:id="11"/>
      </w:r>
      <w:r w:rsidR="004E0106" w:rsidRPr="00A3176F">
        <w:rPr>
          <w:rFonts w:ascii="Times New Roman" w:hAnsi="Times New Roman" w:cs="Times New Roman"/>
          <w:color w:val="262626"/>
        </w:rPr>
        <w:t xml:space="preserve"> </w:t>
      </w:r>
      <w:r w:rsidRPr="00A3176F">
        <w:rPr>
          <w:rFonts w:ascii="Times New Roman" w:hAnsi="Times New Roman" w:cs="Times New Roman"/>
          <w:color w:val="262626"/>
        </w:rPr>
        <w:t>and it was the US</w:t>
      </w:r>
      <w:r w:rsidR="004E0106" w:rsidRPr="00A3176F">
        <w:rPr>
          <w:rFonts w:ascii="Times New Roman" w:hAnsi="Times New Roman" w:cs="Times New Roman"/>
          <w:color w:val="262626"/>
        </w:rPr>
        <w:t xml:space="preserve"> </w:t>
      </w:r>
      <w:r w:rsidRPr="00A3176F">
        <w:rPr>
          <w:rFonts w:ascii="Times New Roman" w:hAnsi="Times New Roman" w:cs="Times New Roman"/>
          <w:color w:val="262626"/>
        </w:rPr>
        <w:t>model that was</w:t>
      </w:r>
      <w:r w:rsidR="004E0106" w:rsidRPr="00A3176F">
        <w:rPr>
          <w:rFonts w:ascii="Times New Roman" w:hAnsi="Times New Roman" w:cs="Times New Roman"/>
          <w:color w:val="262626"/>
        </w:rPr>
        <w:t xml:space="preserve"> adopted by most of the Canadian provinces from the 1940s onwards. </w:t>
      </w:r>
    </w:p>
    <w:p w14:paraId="0A803593" w14:textId="77777777" w:rsidR="00901E6C" w:rsidRPr="00A3176F" w:rsidRDefault="00901E6C">
      <w:pPr>
        <w:rPr>
          <w:rFonts w:ascii="Times New Roman" w:hAnsi="Times New Roman" w:cs="Times New Roman"/>
          <w:color w:val="262626"/>
        </w:rPr>
      </w:pPr>
    </w:p>
    <w:p w14:paraId="03289EDE" w14:textId="29895BBE" w:rsidR="00C92150" w:rsidRPr="00A3176F" w:rsidRDefault="000D6416">
      <w:pPr>
        <w:rPr>
          <w:rFonts w:ascii="Times New Roman" w:hAnsi="Times New Roman" w:cs="Times New Roman"/>
          <w:color w:val="262626"/>
        </w:rPr>
      </w:pPr>
      <w:r w:rsidRPr="00A3176F">
        <w:rPr>
          <w:rFonts w:ascii="Times New Roman" w:hAnsi="Times New Roman" w:cs="Times New Roman"/>
          <w:color w:val="262626"/>
        </w:rPr>
        <w:t>The</w:t>
      </w:r>
      <w:r w:rsidR="00901E6C" w:rsidRPr="00A3176F">
        <w:rPr>
          <w:rFonts w:ascii="Times New Roman" w:hAnsi="Times New Roman" w:cs="Times New Roman"/>
          <w:color w:val="262626"/>
        </w:rPr>
        <w:t xml:space="preserve"> development of these two models was</w:t>
      </w:r>
      <w:r w:rsidRPr="00A3176F">
        <w:rPr>
          <w:rFonts w:ascii="Times New Roman" w:hAnsi="Times New Roman" w:cs="Times New Roman"/>
          <w:color w:val="262626"/>
        </w:rPr>
        <w:t xml:space="preserve"> beginning to </w:t>
      </w:r>
      <w:r w:rsidR="007C1F64" w:rsidRPr="00A3176F">
        <w:rPr>
          <w:rFonts w:ascii="Times New Roman" w:hAnsi="Times New Roman" w:cs="Times New Roman"/>
          <w:color w:val="262626"/>
        </w:rPr>
        <w:t>make show that</w:t>
      </w:r>
      <w:r w:rsidR="00901E6C" w:rsidRPr="00A3176F">
        <w:rPr>
          <w:rFonts w:ascii="Times New Roman" w:hAnsi="Times New Roman" w:cs="Times New Roman"/>
          <w:color w:val="262626"/>
        </w:rPr>
        <w:t xml:space="preserve"> while the world was promoting the Keynesian </w:t>
      </w:r>
      <w:r w:rsidR="00EE7496" w:rsidRPr="00A3176F">
        <w:rPr>
          <w:rFonts w:ascii="Times New Roman" w:hAnsi="Times New Roman" w:cs="Times New Roman"/>
          <w:color w:val="262626"/>
        </w:rPr>
        <w:t>orthodoxy</w:t>
      </w:r>
      <w:r w:rsidR="00901E6C" w:rsidRPr="00A3176F">
        <w:rPr>
          <w:rFonts w:ascii="Times New Roman" w:hAnsi="Times New Roman" w:cs="Times New Roman"/>
          <w:color w:val="262626"/>
        </w:rPr>
        <w:t xml:space="preserve"> reflected in the ILO Declaration of Philadelphia, it was </w:t>
      </w:r>
      <w:r w:rsidR="00EE7496" w:rsidRPr="00A3176F">
        <w:rPr>
          <w:rFonts w:ascii="Times New Roman" w:hAnsi="Times New Roman" w:cs="Times New Roman"/>
          <w:color w:val="262626"/>
        </w:rPr>
        <w:t>an orthodoxy</w:t>
      </w:r>
      <w:r w:rsidR="00901E6C" w:rsidRPr="00A3176F">
        <w:rPr>
          <w:rFonts w:ascii="Times New Roman" w:hAnsi="Times New Roman" w:cs="Times New Roman"/>
          <w:color w:val="262626"/>
        </w:rPr>
        <w:t xml:space="preserve"> that </w:t>
      </w:r>
      <w:r w:rsidR="00B5385F" w:rsidRPr="00A3176F">
        <w:rPr>
          <w:rFonts w:ascii="Times New Roman" w:hAnsi="Times New Roman" w:cs="Times New Roman"/>
          <w:color w:val="262626"/>
        </w:rPr>
        <w:t xml:space="preserve">ironically </w:t>
      </w:r>
      <w:r w:rsidR="007C1F64" w:rsidRPr="00A3176F">
        <w:rPr>
          <w:rFonts w:ascii="Times New Roman" w:hAnsi="Times New Roman" w:cs="Times New Roman"/>
          <w:color w:val="262626"/>
        </w:rPr>
        <w:t xml:space="preserve">which </w:t>
      </w:r>
      <w:r w:rsidR="00901E6C" w:rsidRPr="00A3176F">
        <w:rPr>
          <w:rFonts w:ascii="Times New Roman" w:hAnsi="Times New Roman" w:cs="Times New Roman"/>
          <w:color w:val="262626"/>
        </w:rPr>
        <w:t xml:space="preserve">the United States </w:t>
      </w:r>
      <w:r w:rsidR="007C1F64" w:rsidRPr="00A3176F">
        <w:rPr>
          <w:rFonts w:ascii="Times New Roman" w:hAnsi="Times New Roman" w:cs="Times New Roman"/>
          <w:color w:val="262626"/>
        </w:rPr>
        <w:t xml:space="preserve">was </w:t>
      </w:r>
      <w:r w:rsidR="00EE7496" w:rsidRPr="00A3176F">
        <w:rPr>
          <w:rFonts w:ascii="Times New Roman" w:hAnsi="Times New Roman" w:cs="Times New Roman"/>
          <w:color w:val="262626"/>
        </w:rPr>
        <w:t xml:space="preserve">constitutionally unable fully to </w:t>
      </w:r>
      <w:r w:rsidR="007C1F64" w:rsidRPr="00A3176F">
        <w:rPr>
          <w:rFonts w:ascii="Times New Roman" w:hAnsi="Times New Roman" w:cs="Times New Roman"/>
          <w:color w:val="262626"/>
        </w:rPr>
        <w:t>embrace</w:t>
      </w:r>
      <w:r w:rsidR="00901E6C" w:rsidRPr="00A3176F">
        <w:rPr>
          <w:rFonts w:ascii="Times New Roman" w:hAnsi="Times New Roman" w:cs="Times New Roman"/>
          <w:color w:val="262626"/>
        </w:rPr>
        <w:t>.   In an era before contemporary neo-liberalism</w:t>
      </w:r>
      <w:r w:rsidR="007C1F64" w:rsidRPr="00A3176F">
        <w:rPr>
          <w:rFonts w:ascii="Times New Roman" w:hAnsi="Times New Roman" w:cs="Times New Roman"/>
          <w:color w:val="262626"/>
        </w:rPr>
        <w:t>, the United</w:t>
      </w:r>
      <w:r w:rsidR="00D173AC" w:rsidRPr="00A3176F">
        <w:rPr>
          <w:rFonts w:ascii="Times New Roman" w:hAnsi="Times New Roman" w:cs="Times New Roman"/>
          <w:color w:val="262626"/>
        </w:rPr>
        <w:t xml:space="preserve"> States</w:t>
      </w:r>
      <w:r w:rsidR="00901E6C" w:rsidRPr="00A3176F">
        <w:rPr>
          <w:rFonts w:ascii="Times New Roman" w:hAnsi="Times New Roman" w:cs="Times New Roman"/>
          <w:color w:val="262626"/>
        </w:rPr>
        <w:t xml:space="preserve"> had embraced an ultra-liberal constitution</w:t>
      </w:r>
      <w:r w:rsidR="00D173AC" w:rsidRPr="00A3176F">
        <w:rPr>
          <w:rFonts w:ascii="Times New Roman" w:hAnsi="Times New Roman" w:cs="Times New Roman"/>
          <w:color w:val="262626"/>
        </w:rPr>
        <w:t>,</w:t>
      </w:r>
      <w:r w:rsidR="00C92150" w:rsidRPr="00A3176F">
        <w:rPr>
          <w:rFonts w:ascii="Times New Roman" w:hAnsi="Times New Roman" w:cs="Times New Roman"/>
          <w:color w:val="262626"/>
        </w:rPr>
        <w:t xml:space="preserve"> with neo-conservative judges </w:t>
      </w:r>
      <w:r w:rsidR="00EE7496" w:rsidRPr="00A3176F">
        <w:rPr>
          <w:rFonts w:ascii="Times New Roman" w:hAnsi="Times New Roman" w:cs="Times New Roman"/>
          <w:color w:val="262626"/>
        </w:rPr>
        <w:t xml:space="preserve">having constrained the constitution from </w:t>
      </w:r>
      <w:r w:rsidR="00901E6C" w:rsidRPr="00A3176F">
        <w:rPr>
          <w:rFonts w:ascii="Times New Roman" w:hAnsi="Times New Roman" w:cs="Times New Roman"/>
          <w:color w:val="262626"/>
        </w:rPr>
        <w:t>adapt</w:t>
      </w:r>
      <w:r w:rsidR="00EE7496" w:rsidRPr="00A3176F">
        <w:rPr>
          <w:rFonts w:ascii="Times New Roman" w:hAnsi="Times New Roman" w:cs="Times New Roman"/>
          <w:color w:val="262626"/>
        </w:rPr>
        <w:t>ing</w:t>
      </w:r>
      <w:r w:rsidR="00901E6C" w:rsidRPr="00A3176F">
        <w:rPr>
          <w:rFonts w:ascii="Times New Roman" w:hAnsi="Times New Roman" w:cs="Times New Roman"/>
          <w:color w:val="262626"/>
        </w:rPr>
        <w:t xml:space="preserve"> to changing </w:t>
      </w:r>
      <w:r w:rsidR="009A28E1" w:rsidRPr="00A3176F">
        <w:rPr>
          <w:rFonts w:ascii="Times New Roman" w:hAnsi="Times New Roman" w:cs="Times New Roman"/>
          <w:color w:val="262626"/>
        </w:rPr>
        <w:t>social, economic and political circumstances</w:t>
      </w:r>
      <w:r w:rsidR="00C92150" w:rsidRPr="00A3176F">
        <w:rPr>
          <w:rFonts w:ascii="Times New Roman" w:hAnsi="Times New Roman" w:cs="Times New Roman"/>
          <w:color w:val="262626"/>
        </w:rPr>
        <w:t>.</w:t>
      </w:r>
    </w:p>
    <w:p w14:paraId="2946AA78" w14:textId="77777777" w:rsidR="00C92150" w:rsidRPr="00A3176F" w:rsidRDefault="00C92150">
      <w:pPr>
        <w:rPr>
          <w:rFonts w:ascii="Times New Roman" w:hAnsi="Times New Roman" w:cs="Times New Roman"/>
          <w:color w:val="262626"/>
        </w:rPr>
      </w:pPr>
    </w:p>
    <w:p w14:paraId="250B6F19" w14:textId="3ACA95D0" w:rsidR="00B5385F" w:rsidRPr="00A3176F" w:rsidRDefault="00C92150">
      <w:pPr>
        <w:rPr>
          <w:rFonts w:ascii="Times New Roman" w:hAnsi="Times New Roman" w:cs="Times New Roman"/>
          <w:color w:val="262626"/>
        </w:rPr>
      </w:pPr>
      <w:r w:rsidRPr="00A3176F">
        <w:rPr>
          <w:rFonts w:ascii="Times New Roman" w:hAnsi="Times New Roman" w:cs="Times New Roman"/>
          <w:color w:val="262626"/>
        </w:rPr>
        <w:t>The position was different in Europe where the building or rebuilding of collective bargaining structures was typically underpinned by new constitutional guarantees.  If not explicitly in Germany, then very explicitly in Italy where the Constitution of 1946 opens memorably</w:t>
      </w:r>
      <w:r w:rsidR="00971A74" w:rsidRPr="00A3176F">
        <w:rPr>
          <w:rFonts w:ascii="Times New Roman" w:hAnsi="Times New Roman" w:cs="Times New Roman"/>
          <w:color w:val="262626"/>
        </w:rPr>
        <w:t xml:space="preserve"> with the sentence ‘Italy is a R</w:t>
      </w:r>
      <w:r w:rsidR="00EE7496" w:rsidRPr="00A3176F">
        <w:rPr>
          <w:rFonts w:ascii="Times New Roman" w:hAnsi="Times New Roman" w:cs="Times New Roman"/>
          <w:color w:val="262626"/>
        </w:rPr>
        <w:t>epublic founded o</w:t>
      </w:r>
      <w:r w:rsidRPr="00A3176F">
        <w:rPr>
          <w:rFonts w:ascii="Times New Roman" w:hAnsi="Times New Roman" w:cs="Times New Roman"/>
          <w:color w:val="262626"/>
        </w:rPr>
        <w:t>n labour’</w:t>
      </w:r>
      <w:r w:rsidR="00B5385F" w:rsidRPr="00A3176F">
        <w:rPr>
          <w:rFonts w:ascii="Times New Roman" w:hAnsi="Times New Roman" w:cs="Times New Roman"/>
          <w:color w:val="262626"/>
        </w:rPr>
        <w:t>,</w:t>
      </w:r>
      <w:r w:rsidR="007C1F64" w:rsidRPr="00A3176F">
        <w:rPr>
          <w:rStyle w:val="FootnoteReference"/>
          <w:rFonts w:ascii="Times New Roman" w:hAnsi="Times New Roman" w:cs="Times New Roman"/>
          <w:color w:val="262626"/>
        </w:rPr>
        <w:footnoteReference w:id="12"/>
      </w:r>
      <w:r w:rsidR="00B5385F" w:rsidRPr="00A3176F">
        <w:rPr>
          <w:rFonts w:ascii="Times New Roman" w:hAnsi="Times New Roman" w:cs="Times New Roman"/>
          <w:color w:val="262626"/>
        </w:rPr>
        <w:t xml:space="preserve"> the text continuing to guarantee full recognition to trade unions by providing that:</w:t>
      </w:r>
    </w:p>
    <w:p w14:paraId="3DC8D903" w14:textId="77777777" w:rsidR="00B5385F" w:rsidRPr="00A3176F" w:rsidRDefault="00B5385F">
      <w:pPr>
        <w:rPr>
          <w:rFonts w:ascii="Times New Roman" w:hAnsi="Times New Roman" w:cs="Times New Roman"/>
          <w:color w:val="262626"/>
        </w:rPr>
      </w:pPr>
    </w:p>
    <w:p w14:paraId="19F27E0E" w14:textId="363D5026" w:rsidR="00901E6C" w:rsidRPr="00A3176F" w:rsidRDefault="00B5385F" w:rsidP="00B5385F">
      <w:pPr>
        <w:ind w:left="720"/>
        <w:rPr>
          <w:rFonts w:ascii="Times New Roman" w:hAnsi="Times New Roman" w:cs="Times New Roman"/>
          <w:color w:val="262626"/>
        </w:rPr>
      </w:pPr>
      <w:r w:rsidRPr="00A3176F">
        <w:rPr>
          <w:rFonts w:ascii="Times New Roman" w:hAnsi="Times New Roman" w:cs="Times New Roman"/>
        </w:rPr>
        <w:t>Registered trade unions are legal persons.  Being represented in proportion to their registered members, they may jointly enter into collective labor contracts, which are mandatory for all who belong to the respective industry of these contracts</w:t>
      </w:r>
      <w:r w:rsidR="009A28E1" w:rsidRPr="00A3176F">
        <w:rPr>
          <w:rFonts w:ascii="Times New Roman" w:hAnsi="Times New Roman" w:cs="Times New Roman"/>
        </w:rPr>
        <w:t xml:space="preserve"> (art 39(4))</w:t>
      </w:r>
      <w:r w:rsidRPr="00A3176F">
        <w:rPr>
          <w:rFonts w:ascii="Times New Roman" w:hAnsi="Times New Roman" w:cs="Times New Roman"/>
        </w:rPr>
        <w:t>.</w:t>
      </w:r>
      <w:r w:rsidRPr="00A3176F">
        <w:rPr>
          <w:rFonts w:ascii="Times New Roman" w:hAnsi="Times New Roman" w:cs="Times New Roman"/>
          <w:color w:val="262626"/>
        </w:rPr>
        <w:t xml:space="preserve"> </w:t>
      </w:r>
      <w:r w:rsidR="00C92150" w:rsidRPr="00A3176F">
        <w:rPr>
          <w:rFonts w:ascii="Times New Roman" w:hAnsi="Times New Roman" w:cs="Times New Roman"/>
          <w:color w:val="262626"/>
        </w:rPr>
        <w:t xml:space="preserve"> </w:t>
      </w:r>
      <w:r w:rsidR="00901E6C" w:rsidRPr="00A3176F">
        <w:rPr>
          <w:rFonts w:ascii="Times New Roman" w:hAnsi="Times New Roman" w:cs="Times New Roman"/>
          <w:color w:val="262626"/>
        </w:rPr>
        <w:t xml:space="preserve">  </w:t>
      </w:r>
    </w:p>
    <w:p w14:paraId="0A830C7F" w14:textId="77777777" w:rsidR="00901E6C" w:rsidRPr="00A3176F" w:rsidRDefault="00901E6C">
      <w:pPr>
        <w:rPr>
          <w:rFonts w:ascii="Times New Roman" w:hAnsi="Times New Roman" w:cs="Times New Roman"/>
          <w:color w:val="262626"/>
        </w:rPr>
      </w:pPr>
    </w:p>
    <w:p w14:paraId="19098696" w14:textId="3AB68E13" w:rsidR="00B5385F" w:rsidRPr="00A3176F" w:rsidRDefault="00B5385F">
      <w:pPr>
        <w:rPr>
          <w:rFonts w:ascii="Times New Roman" w:hAnsi="Times New Roman" w:cs="Times New Roman"/>
        </w:rPr>
      </w:pPr>
      <w:r w:rsidRPr="00A3176F">
        <w:rPr>
          <w:rFonts w:ascii="Times New Roman" w:hAnsi="Times New Roman" w:cs="Times New Roman"/>
          <w:color w:val="262626"/>
        </w:rPr>
        <w:t>As other parts o</w:t>
      </w:r>
      <w:r w:rsidR="00E74D6F" w:rsidRPr="00A3176F">
        <w:rPr>
          <w:rFonts w:ascii="Times New Roman" w:hAnsi="Times New Roman" w:cs="Times New Roman"/>
          <w:color w:val="262626"/>
        </w:rPr>
        <w:t>f Europe broke from its fascist</w:t>
      </w:r>
      <w:r w:rsidRPr="00A3176F">
        <w:rPr>
          <w:rFonts w:ascii="Times New Roman" w:hAnsi="Times New Roman" w:cs="Times New Roman"/>
          <w:color w:val="262626"/>
        </w:rPr>
        <w:t xml:space="preserve"> past, another generation of national constitutions continued to</w:t>
      </w:r>
      <w:r w:rsidR="007D1C9E" w:rsidRPr="00A3176F">
        <w:rPr>
          <w:rFonts w:ascii="Times New Roman" w:hAnsi="Times New Roman" w:cs="Times New Roman"/>
          <w:color w:val="262626"/>
        </w:rPr>
        <w:t xml:space="preserve"> </w:t>
      </w:r>
      <w:r w:rsidR="007D1C9E" w:rsidRPr="00A3176F">
        <w:rPr>
          <w:rFonts w:ascii="Times New Roman" w:hAnsi="Times New Roman" w:cs="Times New Roman"/>
        </w:rPr>
        <w:t>insist that ‘the general conditions of work shall be determined by law and supplemented by collective agreements arrived at by free collective bargaining and, in the event of their having failed, by the regulations fixed by arbitration’ (Greece, 1975), and</w:t>
      </w:r>
      <w:r w:rsidR="007D1C9E" w:rsidRPr="00A3176F">
        <w:rPr>
          <w:rFonts w:ascii="Times New Roman" w:hAnsi="Times New Roman" w:cs="Times New Roman"/>
          <w:color w:val="262626"/>
        </w:rPr>
        <w:t xml:space="preserve"> </w:t>
      </w:r>
      <w:r w:rsidR="00E74D6F" w:rsidRPr="00A3176F">
        <w:rPr>
          <w:rFonts w:ascii="Times New Roman" w:hAnsi="Times New Roman" w:cs="Times New Roman"/>
        </w:rPr>
        <w:t>guarantee the right to collective labo</w:t>
      </w:r>
      <w:r w:rsidR="00EE7496" w:rsidRPr="00A3176F">
        <w:rPr>
          <w:rFonts w:ascii="Times New Roman" w:hAnsi="Times New Roman" w:cs="Times New Roman"/>
        </w:rPr>
        <w:t>u</w:t>
      </w:r>
      <w:r w:rsidR="00E74D6F" w:rsidRPr="00A3176F">
        <w:rPr>
          <w:rFonts w:ascii="Times New Roman" w:hAnsi="Times New Roman" w:cs="Times New Roman"/>
        </w:rPr>
        <w:t>r negotiations between the representatives of workers and employers, as well as the binding force of agreements’</w:t>
      </w:r>
      <w:r w:rsidR="007D1C9E" w:rsidRPr="00A3176F">
        <w:rPr>
          <w:rFonts w:ascii="Times New Roman" w:hAnsi="Times New Roman" w:cs="Times New Roman"/>
        </w:rPr>
        <w:t xml:space="preserve"> (Spain, 1978).</w:t>
      </w:r>
      <w:r w:rsidR="00E74D6F" w:rsidRPr="00A3176F">
        <w:rPr>
          <w:rFonts w:ascii="Times New Roman" w:hAnsi="Times New Roman" w:cs="Times New Roman"/>
        </w:rPr>
        <w:t xml:space="preserve"> </w:t>
      </w:r>
    </w:p>
    <w:p w14:paraId="560D3AE2" w14:textId="77777777" w:rsidR="007D1C9E" w:rsidRPr="00A3176F" w:rsidRDefault="007D1C9E">
      <w:pPr>
        <w:rPr>
          <w:rFonts w:ascii="Times New Roman" w:hAnsi="Times New Roman" w:cs="Times New Roman"/>
        </w:rPr>
      </w:pPr>
    </w:p>
    <w:p w14:paraId="5498D03C" w14:textId="1D60E25E" w:rsidR="007D1C9E" w:rsidRPr="00A3176F" w:rsidRDefault="007D1C9E">
      <w:pPr>
        <w:rPr>
          <w:rFonts w:ascii="Times New Roman" w:hAnsi="Times New Roman" w:cs="Times New Roman"/>
        </w:rPr>
      </w:pPr>
      <w:r w:rsidRPr="00A3176F">
        <w:rPr>
          <w:rFonts w:ascii="Times New Roman" w:hAnsi="Times New Roman" w:cs="Times New Roman"/>
        </w:rPr>
        <w:t xml:space="preserve">What was being underpinned by these constitutional arrangements were different functions of collective </w:t>
      </w:r>
      <w:r w:rsidR="004B5FDB" w:rsidRPr="00A3176F">
        <w:rPr>
          <w:rFonts w:ascii="Times New Roman" w:hAnsi="Times New Roman" w:cs="Times New Roman"/>
        </w:rPr>
        <w:t>bargain</w:t>
      </w:r>
      <w:r w:rsidRPr="00A3176F">
        <w:rPr>
          <w:rFonts w:ascii="Times New Roman" w:hAnsi="Times New Roman" w:cs="Times New Roman"/>
        </w:rPr>
        <w:t>ing, revealing sharp ideo</w:t>
      </w:r>
      <w:r w:rsidR="00EE7496" w:rsidRPr="00A3176F">
        <w:rPr>
          <w:rFonts w:ascii="Times New Roman" w:hAnsi="Times New Roman" w:cs="Times New Roman"/>
        </w:rPr>
        <w:t>logical differences about the role of trade unions and the</w:t>
      </w:r>
      <w:r w:rsidRPr="00A3176F">
        <w:rPr>
          <w:rFonts w:ascii="Times New Roman" w:hAnsi="Times New Roman" w:cs="Times New Roman"/>
        </w:rPr>
        <w:t xml:space="preserve"> different forms of capitalist democracy.   This was the difference between trade unions </w:t>
      </w:r>
      <w:r w:rsidR="002F32EF" w:rsidRPr="00A3176F">
        <w:rPr>
          <w:rFonts w:ascii="Times New Roman" w:hAnsi="Times New Roman" w:cs="Times New Roman"/>
        </w:rPr>
        <w:t xml:space="preserve">as representative agents </w:t>
      </w:r>
      <w:r w:rsidRPr="00A3176F">
        <w:rPr>
          <w:rFonts w:ascii="Times New Roman" w:hAnsi="Times New Roman" w:cs="Times New Roman"/>
        </w:rPr>
        <w:t xml:space="preserve">(the US vision) and the trade unions </w:t>
      </w:r>
      <w:r w:rsidR="002F32EF" w:rsidRPr="00A3176F">
        <w:rPr>
          <w:rFonts w:ascii="Times New Roman" w:hAnsi="Times New Roman" w:cs="Times New Roman"/>
        </w:rPr>
        <w:t xml:space="preserve">as regulatory agencies </w:t>
      </w:r>
      <w:r w:rsidRPr="00A3176F">
        <w:rPr>
          <w:rFonts w:ascii="Times New Roman" w:hAnsi="Times New Roman" w:cs="Times New Roman"/>
        </w:rPr>
        <w:t>(the European vision).</w:t>
      </w:r>
      <w:r w:rsidR="009A28E1" w:rsidRPr="00A3176F">
        <w:rPr>
          <w:rStyle w:val="FootnoteReference"/>
          <w:rFonts w:ascii="Times New Roman" w:hAnsi="Times New Roman" w:cs="Times New Roman"/>
        </w:rPr>
        <w:footnoteReference w:id="13"/>
      </w:r>
      <w:r w:rsidR="004B5FDB" w:rsidRPr="00A3176F">
        <w:rPr>
          <w:rFonts w:ascii="Times New Roman" w:hAnsi="Times New Roman" w:cs="Times New Roman"/>
        </w:rPr>
        <w:t xml:space="preserve">   </w:t>
      </w:r>
      <w:r w:rsidR="004767D4" w:rsidRPr="00A3176F">
        <w:rPr>
          <w:rFonts w:ascii="Times New Roman" w:hAnsi="Times New Roman" w:cs="Times New Roman"/>
        </w:rPr>
        <w:t>The constitutional law of liberal democracy</w:t>
      </w:r>
      <w:r w:rsidR="00F34767" w:rsidRPr="00A3176F">
        <w:rPr>
          <w:rFonts w:ascii="Times New Roman" w:hAnsi="Times New Roman" w:cs="Times New Roman"/>
        </w:rPr>
        <w:t xml:space="preserve"> tolerated the former</w:t>
      </w:r>
      <w:r w:rsidR="004767D4" w:rsidRPr="00A3176F">
        <w:rPr>
          <w:rFonts w:ascii="Times New Roman" w:hAnsi="Times New Roman" w:cs="Times New Roman"/>
        </w:rPr>
        <w:t xml:space="preserve">, but </w:t>
      </w:r>
      <w:r w:rsidR="009E44AD" w:rsidRPr="00A3176F">
        <w:rPr>
          <w:rFonts w:ascii="Times New Roman" w:hAnsi="Times New Roman" w:cs="Times New Roman"/>
        </w:rPr>
        <w:t xml:space="preserve">impliedly </w:t>
      </w:r>
      <w:r w:rsidR="00F34767" w:rsidRPr="00A3176F">
        <w:rPr>
          <w:rFonts w:ascii="Times New Roman" w:hAnsi="Times New Roman" w:cs="Times New Roman"/>
        </w:rPr>
        <w:t>prohibited the latter</w:t>
      </w:r>
      <w:r w:rsidR="004767D4" w:rsidRPr="00A3176F">
        <w:rPr>
          <w:rFonts w:ascii="Times New Roman" w:hAnsi="Times New Roman" w:cs="Times New Roman"/>
        </w:rPr>
        <w:t>, whereas the constitutional law of social democracy</w:t>
      </w:r>
      <w:r w:rsidR="009E44AD" w:rsidRPr="00A3176F">
        <w:rPr>
          <w:rFonts w:ascii="Times New Roman" w:hAnsi="Times New Roman" w:cs="Times New Roman"/>
        </w:rPr>
        <w:t xml:space="preserve"> expressly</w:t>
      </w:r>
      <w:r w:rsidR="00F34767" w:rsidRPr="00A3176F">
        <w:rPr>
          <w:rFonts w:ascii="Times New Roman" w:hAnsi="Times New Roman" w:cs="Times New Roman"/>
        </w:rPr>
        <w:t xml:space="preserve"> </w:t>
      </w:r>
      <w:r w:rsidR="008E4785" w:rsidRPr="00A3176F">
        <w:rPr>
          <w:rFonts w:ascii="Times New Roman" w:hAnsi="Times New Roman" w:cs="Times New Roman"/>
        </w:rPr>
        <w:t>demanded</w:t>
      </w:r>
      <w:r w:rsidR="00F34767" w:rsidRPr="00A3176F">
        <w:rPr>
          <w:rFonts w:ascii="Times New Roman" w:hAnsi="Times New Roman" w:cs="Times New Roman"/>
        </w:rPr>
        <w:t xml:space="preserve"> the latter</w:t>
      </w:r>
      <w:r w:rsidR="004767D4" w:rsidRPr="00A3176F">
        <w:rPr>
          <w:rFonts w:ascii="Times New Roman" w:hAnsi="Times New Roman" w:cs="Times New Roman"/>
        </w:rPr>
        <w:t>.</w:t>
      </w:r>
      <w:r w:rsidRPr="00A3176F">
        <w:rPr>
          <w:rFonts w:ascii="Times New Roman" w:hAnsi="Times New Roman" w:cs="Times New Roman"/>
        </w:rPr>
        <w:t xml:space="preserve">  </w:t>
      </w:r>
    </w:p>
    <w:p w14:paraId="2C9C4F90" w14:textId="77777777" w:rsidR="00C47A6B" w:rsidRPr="00A3176F" w:rsidRDefault="00C47A6B">
      <w:pPr>
        <w:rPr>
          <w:rFonts w:ascii="Times New Roman" w:hAnsi="Times New Roman" w:cs="Times New Roman"/>
        </w:rPr>
      </w:pPr>
    </w:p>
    <w:p w14:paraId="62B30B92" w14:textId="23568629" w:rsidR="00960DCF" w:rsidRPr="00A3176F" w:rsidRDefault="00C47A6B">
      <w:pPr>
        <w:rPr>
          <w:rFonts w:ascii="Times New Roman" w:hAnsi="Times New Roman" w:cs="Times New Roman"/>
        </w:rPr>
      </w:pPr>
      <w:r w:rsidRPr="00A3176F">
        <w:rPr>
          <w:rFonts w:ascii="Times New Roman" w:hAnsi="Times New Roman" w:cs="Times New Roman"/>
        </w:rPr>
        <w:t xml:space="preserve">The difference is crucial: ideological perspectives </w:t>
      </w:r>
      <w:r w:rsidR="002F32EF" w:rsidRPr="00A3176F">
        <w:rPr>
          <w:rFonts w:ascii="Times New Roman" w:hAnsi="Times New Roman" w:cs="Times New Roman"/>
        </w:rPr>
        <w:t>affect</w:t>
      </w:r>
      <w:r w:rsidRPr="00A3176F">
        <w:rPr>
          <w:rFonts w:ascii="Times New Roman" w:hAnsi="Times New Roman" w:cs="Times New Roman"/>
        </w:rPr>
        <w:t xml:space="preserve"> </w:t>
      </w:r>
      <w:r w:rsidR="009E44AD" w:rsidRPr="00A3176F">
        <w:rPr>
          <w:rFonts w:ascii="Times New Roman" w:hAnsi="Times New Roman" w:cs="Times New Roman"/>
        </w:rPr>
        <w:t xml:space="preserve">practical </w:t>
      </w:r>
      <w:r w:rsidR="008844C9" w:rsidRPr="00A3176F">
        <w:rPr>
          <w:rFonts w:ascii="Times New Roman" w:hAnsi="Times New Roman" w:cs="Times New Roman"/>
        </w:rPr>
        <w:t xml:space="preserve">outcomes, not only in terms of the integrated role of trade unions within the economy, but also in terms of their direct impact on the lives of members and non members.   A study by the OECD in 1994 revealed these differences very clearly:  in none of the countries with representative </w:t>
      </w:r>
      <w:r w:rsidR="009E44AD" w:rsidRPr="00A3176F">
        <w:rPr>
          <w:rFonts w:ascii="Times New Roman" w:hAnsi="Times New Roman" w:cs="Times New Roman"/>
        </w:rPr>
        <w:t xml:space="preserve">US style enterprise </w:t>
      </w:r>
      <w:r w:rsidR="008844C9" w:rsidRPr="00A3176F">
        <w:rPr>
          <w:rFonts w:ascii="Times New Roman" w:hAnsi="Times New Roman" w:cs="Times New Roman"/>
        </w:rPr>
        <w:t xml:space="preserve">bargaining </w:t>
      </w:r>
      <w:r w:rsidR="00162294" w:rsidRPr="00A3176F">
        <w:rPr>
          <w:rFonts w:ascii="Times New Roman" w:hAnsi="Times New Roman" w:cs="Times New Roman"/>
        </w:rPr>
        <w:t xml:space="preserve">was collective bargaining density anywhere near 50%; and in none of the countries with </w:t>
      </w:r>
      <w:r w:rsidR="009E44AD" w:rsidRPr="00A3176F">
        <w:rPr>
          <w:rFonts w:ascii="Times New Roman" w:hAnsi="Times New Roman" w:cs="Times New Roman"/>
        </w:rPr>
        <w:t xml:space="preserve">regulatory European style centralized, multi-employer bargaining </w:t>
      </w:r>
      <w:r w:rsidR="00162294" w:rsidRPr="00A3176F">
        <w:rPr>
          <w:rFonts w:ascii="Times New Roman" w:hAnsi="Times New Roman" w:cs="Times New Roman"/>
        </w:rPr>
        <w:t>was it less than 50%.</w:t>
      </w:r>
      <w:r w:rsidR="009E44AD" w:rsidRPr="00A3176F">
        <w:rPr>
          <w:rStyle w:val="FootnoteReference"/>
          <w:rFonts w:ascii="Times New Roman" w:hAnsi="Times New Roman" w:cs="Times New Roman"/>
        </w:rPr>
        <w:footnoteReference w:id="14"/>
      </w:r>
    </w:p>
    <w:p w14:paraId="05F1A6AD" w14:textId="77777777" w:rsidR="00960DCF" w:rsidRPr="00A3176F" w:rsidRDefault="00960DCF">
      <w:pPr>
        <w:rPr>
          <w:rFonts w:ascii="Times New Roman" w:hAnsi="Times New Roman" w:cs="Times New Roman"/>
        </w:rPr>
      </w:pPr>
    </w:p>
    <w:p w14:paraId="1B3AFDB9" w14:textId="77777777" w:rsidR="00960DCF" w:rsidRPr="00A3176F" w:rsidRDefault="00960DCF" w:rsidP="00960DCF">
      <w:pPr>
        <w:jc w:val="center"/>
        <w:rPr>
          <w:rFonts w:ascii="Times New Roman" w:hAnsi="Times New Roman" w:cs="Times New Roman"/>
          <w:b/>
        </w:rPr>
      </w:pPr>
    </w:p>
    <w:p w14:paraId="03A52474" w14:textId="1E61AC64" w:rsidR="00C47A6B" w:rsidRPr="00A3176F" w:rsidRDefault="00960DCF" w:rsidP="00960DCF">
      <w:pPr>
        <w:jc w:val="center"/>
        <w:rPr>
          <w:rFonts w:ascii="Times New Roman" w:hAnsi="Times New Roman" w:cs="Times New Roman"/>
          <w:b/>
          <w:color w:val="262626"/>
        </w:rPr>
      </w:pPr>
      <w:r w:rsidRPr="00A3176F">
        <w:rPr>
          <w:rFonts w:ascii="Times New Roman" w:hAnsi="Times New Roman" w:cs="Times New Roman"/>
          <w:b/>
        </w:rPr>
        <w:t>IV</w:t>
      </w:r>
    </w:p>
    <w:p w14:paraId="73A17103" w14:textId="06DA9497" w:rsidR="009665E0" w:rsidRPr="00A3176F" w:rsidRDefault="004E0106">
      <w:pPr>
        <w:rPr>
          <w:rFonts w:ascii="Times New Roman" w:hAnsi="Times New Roman" w:cs="Times New Roman"/>
          <w:color w:val="262626"/>
        </w:rPr>
      </w:pPr>
      <w:r w:rsidRPr="00A3176F">
        <w:rPr>
          <w:rFonts w:ascii="Times New Roman" w:hAnsi="Times New Roman" w:cs="Times New Roman"/>
          <w:color w:val="262626"/>
        </w:rPr>
        <w:t xml:space="preserve"> </w:t>
      </w:r>
    </w:p>
    <w:p w14:paraId="05E4EAF0" w14:textId="04896281" w:rsidR="00BE0A6C" w:rsidRPr="00A3176F" w:rsidRDefault="00971A74">
      <w:pPr>
        <w:rPr>
          <w:rFonts w:ascii="Times New Roman" w:hAnsi="Times New Roman" w:cs="Times New Roman"/>
        </w:rPr>
      </w:pPr>
      <w:r w:rsidRPr="00A3176F">
        <w:rPr>
          <w:rFonts w:ascii="Times New Roman" w:hAnsi="Times New Roman" w:cs="Times New Roman"/>
        </w:rPr>
        <w:t>As these fault lines between two different models were being laid bare, so the regulatory model was viciously attacked in the United King</w:t>
      </w:r>
      <w:r w:rsidR="002F32EF" w:rsidRPr="00A3176F">
        <w:rPr>
          <w:rFonts w:ascii="Times New Roman" w:hAnsi="Times New Roman" w:cs="Times New Roman"/>
        </w:rPr>
        <w:t>dom from 1979, with a slow de</w:t>
      </w:r>
      <w:r w:rsidRPr="00A3176F">
        <w:rPr>
          <w:rFonts w:ascii="Times New Roman" w:hAnsi="Times New Roman" w:cs="Times New Roman"/>
        </w:rPr>
        <w:t>struction of the British industrial relations and the changing role of trade unions in Thatcher’s neo – liberal experiment.  An attempt to impose the US model on the UK under Heath’s Tory government in 1971 had been an ignominious failure.</w:t>
      </w:r>
      <w:r w:rsidR="00753651" w:rsidRPr="00A3176F">
        <w:rPr>
          <w:rStyle w:val="FootnoteReference"/>
          <w:rFonts w:ascii="Times New Roman" w:hAnsi="Times New Roman" w:cs="Times New Roman"/>
        </w:rPr>
        <w:footnoteReference w:id="15"/>
      </w:r>
      <w:r w:rsidRPr="00A3176F">
        <w:rPr>
          <w:rFonts w:ascii="Times New Roman" w:hAnsi="Times New Roman" w:cs="Times New Roman"/>
        </w:rPr>
        <w:t xml:space="preserve">   Inspired by a sharper ideological purpose, Thatcher’s </w:t>
      </w:r>
      <w:r w:rsidR="003E07BC" w:rsidRPr="00A3176F">
        <w:rPr>
          <w:rFonts w:ascii="Times New Roman" w:hAnsi="Times New Roman" w:cs="Times New Roman"/>
        </w:rPr>
        <w:t xml:space="preserve">attack was both more calculated and more brutal; but also more effective. </w:t>
      </w:r>
    </w:p>
    <w:p w14:paraId="6AD5FB37" w14:textId="77777777" w:rsidR="00BE0A6C" w:rsidRPr="00A3176F" w:rsidRDefault="00BE0A6C">
      <w:pPr>
        <w:rPr>
          <w:rFonts w:ascii="Times New Roman" w:hAnsi="Times New Roman" w:cs="Times New Roman"/>
        </w:rPr>
      </w:pPr>
    </w:p>
    <w:p w14:paraId="21D01EEE" w14:textId="734CBD6F" w:rsidR="003F720D" w:rsidRPr="00A3176F" w:rsidRDefault="00854507">
      <w:pPr>
        <w:rPr>
          <w:rFonts w:ascii="Times New Roman" w:hAnsi="Times New Roman" w:cs="Times New Roman"/>
        </w:rPr>
      </w:pPr>
      <w:r w:rsidRPr="00A3176F">
        <w:rPr>
          <w:rFonts w:ascii="Times New Roman" w:hAnsi="Times New Roman" w:cs="Times New Roman"/>
        </w:rPr>
        <w:t xml:space="preserve">In this context, </w:t>
      </w:r>
      <w:r w:rsidR="00BE0A6C" w:rsidRPr="00A3176F">
        <w:rPr>
          <w:rFonts w:ascii="Times New Roman" w:hAnsi="Times New Roman" w:cs="Times New Roman"/>
        </w:rPr>
        <w:t xml:space="preserve">Jacques Delors (then </w:t>
      </w:r>
      <w:r w:rsidR="00A71126" w:rsidRPr="00A3176F">
        <w:rPr>
          <w:rFonts w:ascii="Times New Roman" w:hAnsi="Times New Roman" w:cs="Times New Roman"/>
        </w:rPr>
        <w:t>President of the European</w:t>
      </w:r>
      <w:r w:rsidRPr="00A3176F">
        <w:rPr>
          <w:rFonts w:ascii="Times New Roman" w:hAnsi="Times New Roman" w:cs="Times New Roman"/>
        </w:rPr>
        <w:t xml:space="preserve"> Commission) offered a seductive</w:t>
      </w:r>
      <w:r w:rsidR="00A71126" w:rsidRPr="00A3176F">
        <w:rPr>
          <w:rFonts w:ascii="Times New Roman" w:hAnsi="Times New Roman" w:cs="Times New Roman"/>
        </w:rPr>
        <w:t xml:space="preserve"> future for his TUC audience</w:t>
      </w:r>
      <w:r w:rsidRPr="00A3176F">
        <w:rPr>
          <w:rFonts w:ascii="Times New Roman" w:hAnsi="Times New Roman" w:cs="Times New Roman"/>
        </w:rPr>
        <w:t xml:space="preserve"> in 1988</w:t>
      </w:r>
      <w:r w:rsidR="00A71126" w:rsidRPr="00A3176F">
        <w:rPr>
          <w:rFonts w:ascii="Times New Roman" w:hAnsi="Times New Roman" w:cs="Times New Roman"/>
        </w:rPr>
        <w:t xml:space="preserve">, one based on the idea of a ‘Social Europe’ which had escaped the yoke </w:t>
      </w:r>
      <w:r w:rsidR="009E44AD" w:rsidRPr="00A3176F">
        <w:rPr>
          <w:rFonts w:ascii="Times New Roman" w:hAnsi="Times New Roman" w:cs="Times New Roman"/>
        </w:rPr>
        <w:t>of the EC (as it then was) having been</w:t>
      </w:r>
      <w:r w:rsidR="00A71126" w:rsidRPr="00A3176F">
        <w:rPr>
          <w:rFonts w:ascii="Times New Roman" w:hAnsi="Times New Roman" w:cs="Times New Roman"/>
        </w:rPr>
        <w:t xml:space="preserve"> a capitalist club</w:t>
      </w:r>
      <w:r w:rsidRPr="00A3176F">
        <w:rPr>
          <w:rFonts w:ascii="Times New Roman" w:hAnsi="Times New Roman" w:cs="Times New Roman"/>
        </w:rPr>
        <w:t xml:space="preserve"> for big business</w:t>
      </w:r>
      <w:r w:rsidR="00A71126" w:rsidRPr="00A3176F">
        <w:rPr>
          <w:rFonts w:ascii="Times New Roman" w:hAnsi="Times New Roman" w:cs="Times New Roman"/>
        </w:rPr>
        <w:t xml:space="preserve">.  This idea of a Social Europe was </w:t>
      </w:r>
      <w:r w:rsidRPr="00A3176F">
        <w:rPr>
          <w:rFonts w:ascii="Times New Roman" w:hAnsi="Times New Roman" w:cs="Times New Roman"/>
        </w:rPr>
        <w:t xml:space="preserve">all the more seductive for </w:t>
      </w:r>
      <w:r w:rsidR="00A71126" w:rsidRPr="00A3176F">
        <w:rPr>
          <w:rFonts w:ascii="Times New Roman" w:hAnsi="Times New Roman" w:cs="Times New Roman"/>
        </w:rPr>
        <w:t>Delors’</w:t>
      </w:r>
      <w:r w:rsidR="00D2523A" w:rsidRPr="00A3176F">
        <w:rPr>
          <w:rFonts w:ascii="Times New Roman" w:hAnsi="Times New Roman" w:cs="Times New Roman"/>
        </w:rPr>
        <w:t xml:space="preserve"> </w:t>
      </w:r>
      <w:r w:rsidR="00A71126" w:rsidRPr="00A3176F">
        <w:rPr>
          <w:rFonts w:ascii="Times New Roman" w:hAnsi="Times New Roman" w:cs="Times New Roman"/>
        </w:rPr>
        <w:t xml:space="preserve">promise </w:t>
      </w:r>
      <w:r w:rsidR="00D2523A" w:rsidRPr="00A3176F">
        <w:rPr>
          <w:rFonts w:ascii="Times New Roman" w:hAnsi="Times New Roman" w:cs="Times New Roman"/>
        </w:rPr>
        <w:t>that every worker would be protected by a collective agreement, a promise reinforced by the EC Charter of the Fundamental Rights of Workers of 1989.</w:t>
      </w:r>
    </w:p>
    <w:p w14:paraId="4211F256" w14:textId="77777777" w:rsidR="003F720D" w:rsidRPr="00A3176F" w:rsidRDefault="003F720D">
      <w:pPr>
        <w:rPr>
          <w:rFonts w:ascii="Times New Roman" w:hAnsi="Times New Roman" w:cs="Times New Roman"/>
        </w:rPr>
      </w:pPr>
    </w:p>
    <w:p w14:paraId="4881A1B5" w14:textId="32EA0AA1" w:rsidR="006D58EB" w:rsidRPr="00A3176F" w:rsidRDefault="006C39BB">
      <w:pPr>
        <w:rPr>
          <w:rFonts w:ascii="Times New Roman" w:hAnsi="Times New Roman" w:cs="Times New Roman"/>
        </w:rPr>
      </w:pPr>
      <w:r w:rsidRPr="00A3176F">
        <w:rPr>
          <w:rFonts w:ascii="Times New Roman" w:hAnsi="Times New Roman" w:cs="Times New Roman"/>
        </w:rPr>
        <w:t>It</w:t>
      </w:r>
      <w:r w:rsidR="00F93CD1" w:rsidRPr="00A3176F">
        <w:rPr>
          <w:rFonts w:ascii="Times New Roman" w:hAnsi="Times New Roman" w:cs="Times New Roman"/>
        </w:rPr>
        <w:t xml:space="preserve"> is undeniable that Delors changed many people’s minds about the potential of the EU, and that </w:t>
      </w:r>
      <w:r w:rsidR="003F720D" w:rsidRPr="00A3176F">
        <w:rPr>
          <w:rFonts w:ascii="Times New Roman" w:hAnsi="Times New Roman" w:cs="Times New Roman"/>
        </w:rPr>
        <w:t xml:space="preserve">the European Social Dimension </w:t>
      </w:r>
      <w:r w:rsidR="00F93CD1" w:rsidRPr="00A3176F">
        <w:rPr>
          <w:rFonts w:ascii="Times New Roman" w:hAnsi="Times New Roman" w:cs="Times New Roman"/>
        </w:rPr>
        <w:t>grew very quickly following his game-changing</w:t>
      </w:r>
      <w:r w:rsidR="003F720D" w:rsidRPr="00A3176F">
        <w:rPr>
          <w:rFonts w:ascii="Times New Roman" w:hAnsi="Times New Roman" w:cs="Times New Roman"/>
        </w:rPr>
        <w:t xml:space="preserve"> speech</w:t>
      </w:r>
      <w:r w:rsidR="00F93CD1" w:rsidRPr="00A3176F">
        <w:rPr>
          <w:rFonts w:ascii="Times New Roman" w:hAnsi="Times New Roman" w:cs="Times New Roman"/>
        </w:rPr>
        <w:t xml:space="preserve">.  </w:t>
      </w:r>
      <w:r w:rsidRPr="00A3176F">
        <w:rPr>
          <w:rFonts w:ascii="Times New Roman" w:hAnsi="Times New Roman" w:cs="Times New Roman"/>
        </w:rPr>
        <w:t xml:space="preserve">But perhaps not as quickly or as far as is sometimes thought.  True, trade unions (in the form of the ETUC) were drawn into the legislative process as regulatory agents.  True too, </w:t>
      </w:r>
      <w:r w:rsidR="000B09F9" w:rsidRPr="00A3176F">
        <w:rPr>
          <w:rFonts w:ascii="Times New Roman" w:hAnsi="Times New Roman" w:cs="Times New Roman"/>
        </w:rPr>
        <w:t>a great deal o</w:t>
      </w:r>
      <w:r w:rsidR="00BA7F6F" w:rsidRPr="00A3176F">
        <w:rPr>
          <w:rFonts w:ascii="Times New Roman" w:hAnsi="Times New Roman" w:cs="Times New Roman"/>
        </w:rPr>
        <w:t xml:space="preserve">f valuable labour protection was created as a result.   But </w:t>
      </w:r>
      <w:r w:rsidR="000B09F9" w:rsidRPr="00A3176F">
        <w:rPr>
          <w:rFonts w:ascii="Times New Roman" w:hAnsi="Times New Roman" w:cs="Times New Roman"/>
        </w:rPr>
        <w:t>significantly</w:t>
      </w:r>
      <w:r w:rsidR="00BA7F6F" w:rsidRPr="00A3176F">
        <w:rPr>
          <w:rFonts w:ascii="Times New Roman" w:hAnsi="Times New Roman" w:cs="Times New Roman"/>
        </w:rPr>
        <w:t xml:space="preserve"> there was no EU instrument on the right to bargain collectively (or the right to strike), even if EU law could be implemented by collective agreements at national level</w:t>
      </w:r>
      <w:r w:rsidR="008702E3" w:rsidRPr="00A3176F">
        <w:rPr>
          <w:rFonts w:ascii="Times New Roman" w:hAnsi="Times New Roman" w:cs="Times New Roman"/>
        </w:rPr>
        <w:t xml:space="preserve"> (</w:t>
      </w:r>
      <w:r w:rsidR="000B09F9" w:rsidRPr="00A3176F">
        <w:rPr>
          <w:rFonts w:ascii="Times New Roman" w:hAnsi="Times New Roman" w:cs="Times New Roman"/>
        </w:rPr>
        <w:t>as</w:t>
      </w:r>
      <w:r w:rsidR="008702E3" w:rsidRPr="00A3176F">
        <w:rPr>
          <w:rFonts w:ascii="Times New Roman" w:hAnsi="Times New Roman" w:cs="Times New Roman"/>
        </w:rPr>
        <w:t xml:space="preserve"> in the case of working time)</w:t>
      </w:r>
      <w:r w:rsidR="00BA7F6F" w:rsidRPr="00A3176F">
        <w:rPr>
          <w:rFonts w:ascii="Times New Roman" w:hAnsi="Times New Roman" w:cs="Times New Roman"/>
        </w:rPr>
        <w:t>.</w:t>
      </w:r>
    </w:p>
    <w:p w14:paraId="06BC9A3F" w14:textId="77777777" w:rsidR="006D58EB" w:rsidRPr="00A3176F" w:rsidRDefault="006D58EB">
      <w:pPr>
        <w:rPr>
          <w:rFonts w:ascii="Times New Roman" w:hAnsi="Times New Roman" w:cs="Times New Roman"/>
        </w:rPr>
      </w:pPr>
    </w:p>
    <w:p w14:paraId="04956832" w14:textId="722533AF" w:rsidR="00CB2515" w:rsidRPr="00A3176F" w:rsidRDefault="000B09F9">
      <w:pPr>
        <w:rPr>
          <w:rFonts w:ascii="Times New Roman" w:hAnsi="Times New Roman" w:cs="Times New Roman"/>
        </w:rPr>
      </w:pPr>
      <w:r w:rsidRPr="00A3176F">
        <w:rPr>
          <w:rFonts w:ascii="Times New Roman" w:hAnsi="Times New Roman" w:cs="Times New Roman"/>
        </w:rPr>
        <w:t>It is also the case, however,</w:t>
      </w:r>
      <w:r w:rsidR="007941AD" w:rsidRPr="00A3176F">
        <w:rPr>
          <w:rFonts w:ascii="Times New Roman" w:hAnsi="Times New Roman" w:cs="Times New Roman"/>
        </w:rPr>
        <w:t xml:space="preserve"> that Delors’ future is now in the past, Social Europe being dismantled from within by three powerful forces.   The first is judicial, beginning with the decisions </w:t>
      </w:r>
      <w:r w:rsidR="00F93CD1" w:rsidRPr="00A3176F">
        <w:rPr>
          <w:rFonts w:ascii="Times New Roman" w:hAnsi="Times New Roman" w:cs="Times New Roman"/>
        </w:rPr>
        <w:t xml:space="preserve">of the European Court of Justice </w:t>
      </w:r>
      <w:r w:rsidR="007941AD" w:rsidRPr="00A3176F">
        <w:rPr>
          <w:rFonts w:ascii="Times New Roman" w:hAnsi="Times New Roman" w:cs="Times New Roman"/>
        </w:rPr>
        <w:t xml:space="preserve">in </w:t>
      </w:r>
      <w:r w:rsidR="007941AD" w:rsidRPr="00A3176F">
        <w:rPr>
          <w:rFonts w:ascii="Times New Roman" w:hAnsi="Times New Roman" w:cs="Times New Roman"/>
          <w:i/>
        </w:rPr>
        <w:t>Viking</w:t>
      </w:r>
      <w:r w:rsidR="007941AD" w:rsidRPr="00A3176F">
        <w:rPr>
          <w:rFonts w:ascii="Times New Roman" w:hAnsi="Times New Roman" w:cs="Times New Roman"/>
        </w:rPr>
        <w:t xml:space="preserve"> and </w:t>
      </w:r>
      <w:r w:rsidR="007941AD" w:rsidRPr="00A3176F">
        <w:rPr>
          <w:rFonts w:ascii="Times New Roman" w:hAnsi="Times New Roman" w:cs="Times New Roman"/>
          <w:i/>
        </w:rPr>
        <w:t>Laval</w:t>
      </w:r>
      <w:r w:rsidR="007941AD" w:rsidRPr="00A3176F">
        <w:rPr>
          <w:rFonts w:ascii="Times New Roman" w:hAnsi="Times New Roman" w:cs="Times New Roman"/>
        </w:rPr>
        <w:t>.</w:t>
      </w:r>
      <w:r w:rsidR="00862F36" w:rsidRPr="00A3176F">
        <w:rPr>
          <w:rStyle w:val="FootnoteReference"/>
          <w:rFonts w:ascii="Times New Roman" w:hAnsi="Times New Roman" w:cs="Times New Roman"/>
        </w:rPr>
        <w:footnoteReference w:id="16"/>
      </w:r>
      <w:r w:rsidR="008E4785" w:rsidRPr="00A3176F">
        <w:rPr>
          <w:rFonts w:ascii="Times New Roman" w:hAnsi="Times New Roman" w:cs="Times New Roman"/>
        </w:rPr>
        <w:t xml:space="preserve">  </w:t>
      </w:r>
      <w:r w:rsidR="00F93CD1" w:rsidRPr="00A3176F">
        <w:rPr>
          <w:rFonts w:ascii="Times New Roman" w:hAnsi="Times New Roman" w:cs="Times New Roman"/>
        </w:rPr>
        <w:t xml:space="preserve"> </w:t>
      </w:r>
      <w:r w:rsidR="008E4785" w:rsidRPr="00A3176F">
        <w:rPr>
          <w:rFonts w:ascii="Times New Roman" w:hAnsi="Times New Roman" w:cs="Times New Roman"/>
        </w:rPr>
        <w:t xml:space="preserve">The </w:t>
      </w:r>
      <w:r w:rsidR="00F93CD1" w:rsidRPr="00A3176F">
        <w:rPr>
          <w:rFonts w:ascii="Times New Roman" w:hAnsi="Times New Roman" w:cs="Times New Roman"/>
        </w:rPr>
        <w:t>ECJ</w:t>
      </w:r>
      <w:r w:rsidR="001A4803" w:rsidRPr="00A3176F">
        <w:rPr>
          <w:rFonts w:ascii="Times New Roman" w:hAnsi="Times New Roman" w:cs="Times New Roman"/>
        </w:rPr>
        <w:t xml:space="preserve"> </w:t>
      </w:r>
      <w:r w:rsidR="008E4785" w:rsidRPr="00A3176F">
        <w:rPr>
          <w:rFonts w:ascii="Times New Roman" w:hAnsi="Times New Roman" w:cs="Times New Roman"/>
        </w:rPr>
        <w:t xml:space="preserve">reached back to an earlier European era, </w:t>
      </w:r>
      <w:r w:rsidRPr="00A3176F">
        <w:rPr>
          <w:rFonts w:ascii="Times New Roman" w:hAnsi="Times New Roman" w:cs="Times New Roman"/>
        </w:rPr>
        <w:t xml:space="preserve">where it found </w:t>
      </w:r>
      <w:r w:rsidR="008E4785" w:rsidRPr="00A3176F">
        <w:rPr>
          <w:rFonts w:ascii="Times New Roman" w:hAnsi="Times New Roman" w:cs="Times New Roman"/>
        </w:rPr>
        <w:t>less social</w:t>
      </w:r>
      <w:r w:rsidR="00F93CD1" w:rsidRPr="00A3176F">
        <w:rPr>
          <w:rFonts w:ascii="Times New Roman" w:hAnsi="Times New Roman" w:cs="Times New Roman"/>
        </w:rPr>
        <w:t xml:space="preserve"> democracy</w:t>
      </w:r>
      <w:r w:rsidR="0043659F" w:rsidRPr="00A3176F">
        <w:rPr>
          <w:rFonts w:ascii="Times New Roman" w:hAnsi="Times New Roman" w:cs="Times New Roman"/>
        </w:rPr>
        <w:t xml:space="preserve"> and more ec</w:t>
      </w:r>
      <w:r w:rsidRPr="00A3176F">
        <w:rPr>
          <w:rFonts w:ascii="Times New Roman" w:hAnsi="Times New Roman" w:cs="Times New Roman"/>
        </w:rPr>
        <w:t>onomic liberalism.  The judicial subordination of</w:t>
      </w:r>
      <w:r w:rsidR="0043659F" w:rsidRPr="00A3176F">
        <w:rPr>
          <w:rFonts w:ascii="Times New Roman" w:hAnsi="Times New Roman" w:cs="Times New Roman"/>
        </w:rPr>
        <w:t xml:space="preserve"> fundamental labour rights </w:t>
      </w:r>
      <w:r w:rsidRPr="00A3176F">
        <w:rPr>
          <w:rFonts w:ascii="Times New Roman" w:hAnsi="Times New Roman" w:cs="Times New Roman"/>
        </w:rPr>
        <w:t xml:space="preserve">(including the right to bargain collectively) </w:t>
      </w:r>
      <w:r w:rsidR="0043659F" w:rsidRPr="00A3176F">
        <w:rPr>
          <w:rFonts w:ascii="Times New Roman" w:hAnsi="Times New Roman" w:cs="Times New Roman"/>
        </w:rPr>
        <w:t>to</w:t>
      </w:r>
      <w:r w:rsidR="007941AD" w:rsidRPr="00A3176F">
        <w:rPr>
          <w:rFonts w:ascii="Times New Roman" w:hAnsi="Times New Roman" w:cs="Times New Roman"/>
        </w:rPr>
        <w:t xml:space="preserve"> </w:t>
      </w:r>
      <w:r w:rsidR="0043659F" w:rsidRPr="00A3176F">
        <w:rPr>
          <w:rFonts w:ascii="Times New Roman" w:hAnsi="Times New Roman" w:cs="Times New Roman"/>
        </w:rPr>
        <w:t>the freedom o</w:t>
      </w:r>
      <w:r w:rsidRPr="00A3176F">
        <w:rPr>
          <w:rFonts w:ascii="Times New Roman" w:hAnsi="Times New Roman" w:cs="Times New Roman"/>
        </w:rPr>
        <w:t>f establishment of corporations was only the start.</w:t>
      </w:r>
    </w:p>
    <w:p w14:paraId="6D8D74A1" w14:textId="77777777" w:rsidR="00CB2515" w:rsidRPr="00A3176F" w:rsidRDefault="00CB2515">
      <w:pPr>
        <w:rPr>
          <w:rFonts w:ascii="Times New Roman" w:hAnsi="Times New Roman" w:cs="Times New Roman"/>
        </w:rPr>
      </w:pPr>
    </w:p>
    <w:p w14:paraId="0843097B" w14:textId="52B31DF7" w:rsidR="001A6885" w:rsidRPr="00A3176F" w:rsidRDefault="000B09F9">
      <w:pPr>
        <w:rPr>
          <w:rFonts w:ascii="Times New Roman" w:hAnsi="Times New Roman" w:cs="Times New Roman"/>
        </w:rPr>
      </w:pPr>
      <w:r w:rsidRPr="00A3176F">
        <w:rPr>
          <w:rFonts w:ascii="Times New Roman" w:hAnsi="Times New Roman" w:cs="Times New Roman"/>
        </w:rPr>
        <w:t>Only the start it may have been, but</w:t>
      </w:r>
      <w:r w:rsidR="00CB2515" w:rsidRPr="00A3176F">
        <w:rPr>
          <w:rFonts w:ascii="Times New Roman" w:hAnsi="Times New Roman" w:cs="Times New Roman"/>
        </w:rPr>
        <w:t xml:space="preserve"> no one could quite anticipate what was to happen next.   In the wake of the global </w:t>
      </w:r>
      <w:r w:rsidR="00F93CD1" w:rsidRPr="00A3176F">
        <w:rPr>
          <w:rFonts w:ascii="Times New Roman" w:hAnsi="Times New Roman" w:cs="Times New Roman"/>
        </w:rPr>
        <w:t>financial</w:t>
      </w:r>
      <w:r w:rsidR="00CB2515" w:rsidRPr="00A3176F">
        <w:rPr>
          <w:rFonts w:ascii="Times New Roman" w:hAnsi="Times New Roman" w:cs="Times New Roman"/>
        </w:rPr>
        <w:t xml:space="preserve"> crash and the </w:t>
      </w:r>
      <w:r w:rsidR="00F93CD1" w:rsidRPr="00A3176F">
        <w:rPr>
          <w:rFonts w:ascii="Times New Roman" w:hAnsi="Times New Roman" w:cs="Times New Roman"/>
        </w:rPr>
        <w:t>Euro</w:t>
      </w:r>
      <w:r w:rsidR="00CB2515" w:rsidRPr="00A3176F">
        <w:rPr>
          <w:rFonts w:ascii="Times New Roman" w:hAnsi="Times New Roman" w:cs="Times New Roman"/>
        </w:rPr>
        <w:t xml:space="preserve"> crisis, Europe was to abandon social democracy a</w:t>
      </w:r>
      <w:r w:rsidR="001A6885" w:rsidRPr="00A3176F">
        <w:rPr>
          <w:rFonts w:ascii="Times New Roman" w:hAnsi="Times New Roman" w:cs="Times New Roman"/>
        </w:rPr>
        <w:t>nd to take a neo-liberal turn.   The political map turned blue and Thatcherism found a receptive audience in Brussels and in</w:t>
      </w:r>
      <w:r w:rsidR="00820B99" w:rsidRPr="00A3176F">
        <w:rPr>
          <w:rFonts w:ascii="Times New Roman" w:hAnsi="Times New Roman" w:cs="Times New Roman"/>
        </w:rPr>
        <w:t xml:space="preserve"> Europe’s</w:t>
      </w:r>
      <w:r w:rsidR="001A6885" w:rsidRPr="00A3176F">
        <w:rPr>
          <w:rFonts w:ascii="Times New Roman" w:hAnsi="Times New Roman" w:cs="Times New Roman"/>
        </w:rPr>
        <w:t xml:space="preserve"> national capitals.   Under new rules of economic governance adopted in 2010 with a view to harmonizing national economies, the talk was not now of the European Social Model but of greater wage flexibility and the deregulation of collective bargaining closer to the enterprise.</w:t>
      </w:r>
      <w:r w:rsidR="00211CB2" w:rsidRPr="00A3176F">
        <w:rPr>
          <w:rStyle w:val="FootnoteReference"/>
          <w:rFonts w:ascii="Times New Roman" w:hAnsi="Times New Roman" w:cs="Times New Roman"/>
        </w:rPr>
        <w:footnoteReference w:id="17"/>
      </w:r>
    </w:p>
    <w:p w14:paraId="4525A808" w14:textId="77777777" w:rsidR="001A6885" w:rsidRPr="00A3176F" w:rsidRDefault="001A6885">
      <w:pPr>
        <w:rPr>
          <w:rFonts w:ascii="Times New Roman" w:hAnsi="Times New Roman" w:cs="Times New Roman"/>
        </w:rPr>
      </w:pPr>
    </w:p>
    <w:p w14:paraId="17A435CC" w14:textId="66485E29" w:rsidR="007941AD" w:rsidRPr="00A3176F" w:rsidRDefault="001A6885">
      <w:pPr>
        <w:rPr>
          <w:rFonts w:ascii="Times New Roman" w:hAnsi="Times New Roman" w:cs="Times New Roman"/>
        </w:rPr>
      </w:pPr>
      <w:r w:rsidRPr="00A3176F">
        <w:rPr>
          <w:rFonts w:ascii="Times New Roman" w:hAnsi="Times New Roman" w:cs="Times New Roman"/>
        </w:rPr>
        <w:t xml:space="preserve">These are developments </w:t>
      </w:r>
      <w:r w:rsidR="00045C27" w:rsidRPr="00A3176F">
        <w:rPr>
          <w:rFonts w:ascii="Times New Roman" w:hAnsi="Times New Roman" w:cs="Times New Roman"/>
        </w:rPr>
        <w:t xml:space="preserve">reinforced in turn by the austerity </w:t>
      </w:r>
      <w:r w:rsidR="007941AD" w:rsidRPr="00A3176F">
        <w:rPr>
          <w:rFonts w:ascii="Times New Roman" w:hAnsi="Times New Roman" w:cs="Times New Roman"/>
        </w:rPr>
        <w:t>measures ‘agreed’ with a number of countries</w:t>
      </w:r>
      <w:r w:rsidR="00D6428D" w:rsidRPr="00A3176F">
        <w:rPr>
          <w:rFonts w:ascii="Times New Roman" w:hAnsi="Times New Roman" w:cs="Times New Roman"/>
        </w:rPr>
        <w:t xml:space="preserve">, as a condition </w:t>
      </w:r>
      <w:r w:rsidR="006A2717" w:rsidRPr="00A3176F">
        <w:rPr>
          <w:rFonts w:ascii="Times New Roman" w:hAnsi="Times New Roman" w:cs="Times New Roman"/>
        </w:rPr>
        <w:t>of financial assi</w:t>
      </w:r>
      <w:r w:rsidR="00596C40" w:rsidRPr="00A3176F">
        <w:rPr>
          <w:rFonts w:ascii="Times New Roman" w:hAnsi="Times New Roman" w:cs="Times New Roman"/>
        </w:rPr>
        <w:t>stance following the collapse of the Euro.</w:t>
      </w:r>
      <w:r w:rsidR="00820B99" w:rsidRPr="00A3176F">
        <w:rPr>
          <w:rFonts w:ascii="Times New Roman" w:hAnsi="Times New Roman" w:cs="Times New Roman"/>
        </w:rPr>
        <w:t xml:space="preserve">   The latter measures</w:t>
      </w:r>
      <w:r w:rsidR="00A77982" w:rsidRPr="00A3176F">
        <w:rPr>
          <w:rFonts w:ascii="Times New Roman" w:hAnsi="Times New Roman" w:cs="Times New Roman"/>
        </w:rPr>
        <w:t xml:space="preserve"> </w:t>
      </w:r>
      <w:r w:rsidR="00596C40" w:rsidRPr="00A3176F">
        <w:rPr>
          <w:rFonts w:ascii="Times New Roman" w:hAnsi="Times New Roman" w:cs="Times New Roman"/>
        </w:rPr>
        <w:t>led to a</w:t>
      </w:r>
      <w:r w:rsidR="00A77982" w:rsidRPr="00A3176F">
        <w:rPr>
          <w:rFonts w:ascii="Times New Roman" w:hAnsi="Times New Roman" w:cs="Times New Roman"/>
        </w:rPr>
        <w:t xml:space="preserve"> major de</w:t>
      </w:r>
      <w:r w:rsidR="008044DF" w:rsidRPr="00A3176F">
        <w:rPr>
          <w:rFonts w:ascii="Times New Roman" w:hAnsi="Times New Roman" w:cs="Times New Roman"/>
        </w:rPr>
        <w:t>-c</w:t>
      </w:r>
      <w:r w:rsidR="00A77982" w:rsidRPr="00A3176F">
        <w:rPr>
          <w:rFonts w:ascii="Times New Roman" w:hAnsi="Times New Roman" w:cs="Times New Roman"/>
        </w:rPr>
        <w:t>entralisation of collective bargaining arrangements</w:t>
      </w:r>
      <w:r w:rsidR="00826C82" w:rsidRPr="00A3176F">
        <w:rPr>
          <w:rFonts w:ascii="Times New Roman" w:hAnsi="Times New Roman" w:cs="Times New Roman"/>
        </w:rPr>
        <w:t>, which in</w:t>
      </w:r>
      <w:r w:rsidR="00596C40" w:rsidRPr="00A3176F">
        <w:rPr>
          <w:rFonts w:ascii="Times New Roman" w:hAnsi="Times New Roman" w:cs="Times New Roman"/>
        </w:rPr>
        <w:t xml:space="preserve"> the case of Greece were</w:t>
      </w:r>
      <w:r w:rsidR="00893C1F" w:rsidRPr="00A3176F">
        <w:rPr>
          <w:rFonts w:ascii="Times New Roman" w:hAnsi="Times New Roman" w:cs="Times New Roman"/>
        </w:rPr>
        <w:t xml:space="preserve"> condemned by the ILO as </w:t>
      </w:r>
      <w:r w:rsidR="00596C40" w:rsidRPr="00A3176F">
        <w:rPr>
          <w:rFonts w:ascii="Times New Roman" w:hAnsi="Times New Roman" w:cs="Times New Roman"/>
        </w:rPr>
        <w:t xml:space="preserve">leading to </w:t>
      </w:r>
      <w:r w:rsidR="00893C1F" w:rsidRPr="00A3176F">
        <w:rPr>
          <w:rFonts w:ascii="Times New Roman" w:hAnsi="Times New Roman" w:cs="Times New Roman"/>
        </w:rPr>
        <w:t>the destruction of the entire collective bargaining system in that country.</w:t>
      </w:r>
      <w:r w:rsidR="00820B99" w:rsidRPr="00A3176F">
        <w:rPr>
          <w:rStyle w:val="FootnoteReference"/>
          <w:rFonts w:ascii="Times New Roman" w:hAnsi="Times New Roman" w:cs="Times New Roman"/>
        </w:rPr>
        <w:footnoteReference w:id="18"/>
      </w:r>
      <w:r w:rsidR="00596C40" w:rsidRPr="00A3176F">
        <w:rPr>
          <w:rFonts w:ascii="Times New Roman" w:hAnsi="Times New Roman" w:cs="Times New Roman"/>
        </w:rPr>
        <w:t xml:space="preserve">   Yet a</w:t>
      </w:r>
      <w:r w:rsidR="001A4803" w:rsidRPr="00A3176F">
        <w:rPr>
          <w:rFonts w:ascii="Times New Roman" w:hAnsi="Times New Roman" w:cs="Times New Roman"/>
        </w:rPr>
        <w:t xml:space="preserve">lthough a clear violation of many of the provisions of the EU treaties, the </w:t>
      </w:r>
      <w:r w:rsidR="00596C40" w:rsidRPr="00A3176F">
        <w:rPr>
          <w:rFonts w:ascii="Times New Roman" w:hAnsi="Times New Roman" w:cs="Times New Roman"/>
        </w:rPr>
        <w:t>ECJ</w:t>
      </w:r>
      <w:r w:rsidR="001A4803" w:rsidRPr="00A3176F">
        <w:rPr>
          <w:rFonts w:ascii="Times New Roman" w:hAnsi="Times New Roman" w:cs="Times New Roman"/>
        </w:rPr>
        <w:t xml:space="preserve"> refused to intervene</w:t>
      </w:r>
      <w:r w:rsidR="00596C40" w:rsidRPr="00A3176F">
        <w:rPr>
          <w:rFonts w:ascii="Times New Roman" w:hAnsi="Times New Roman" w:cs="Times New Roman"/>
        </w:rPr>
        <w:t>,</w:t>
      </w:r>
      <w:r w:rsidR="00820B99" w:rsidRPr="00A3176F">
        <w:rPr>
          <w:rStyle w:val="FootnoteReference"/>
          <w:rFonts w:ascii="Times New Roman" w:hAnsi="Times New Roman" w:cs="Times New Roman"/>
        </w:rPr>
        <w:footnoteReference w:id="19"/>
      </w:r>
      <w:r w:rsidR="00596C40" w:rsidRPr="00A3176F">
        <w:rPr>
          <w:rFonts w:ascii="Times New Roman" w:hAnsi="Times New Roman" w:cs="Times New Roman"/>
        </w:rPr>
        <w:t xml:space="preserve"> apparently eschewing</w:t>
      </w:r>
      <w:r w:rsidR="001A4803" w:rsidRPr="00A3176F">
        <w:rPr>
          <w:rFonts w:ascii="Times New Roman" w:hAnsi="Times New Roman" w:cs="Times New Roman"/>
        </w:rPr>
        <w:t xml:space="preserve"> the </w:t>
      </w:r>
      <w:r w:rsidR="008044DF" w:rsidRPr="00A3176F">
        <w:rPr>
          <w:rFonts w:ascii="Times New Roman" w:hAnsi="Times New Roman" w:cs="Times New Roman"/>
        </w:rPr>
        <w:t xml:space="preserve">US </w:t>
      </w:r>
      <w:r w:rsidR="001A4803" w:rsidRPr="00A3176F">
        <w:rPr>
          <w:rFonts w:ascii="Times New Roman" w:hAnsi="Times New Roman" w:cs="Times New Roman"/>
        </w:rPr>
        <w:t>legal doctrine that ‘</w:t>
      </w:r>
      <w:r w:rsidR="00596C40" w:rsidRPr="00A3176F">
        <w:rPr>
          <w:rFonts w:ascii="Times New Roman" w:hAnsi="Times New Roman" w:cs="Times New Roman"/>
          <w:color w:val="262626"/>
        </w:rPr>
        <w:t>e</w:t>
      </w:r>
      <w:r w:rsidR="00167243" w:rsidRPr="00A3176F">
        <w:rPr>
          <w:rFonts w:ascii="Times New Roman" w:hAnsi="Times New Roman" w:cs="Times New Roman"/>
          <w:color w:val="262626"/>
        </w:rPr>
        <w:t>xtraordinary conditions do not create or enlarge constitutional power</w:t>
      </w:r>
      <w:r w:rsidR="001A4803" w:rsidRPr="00A3176F">
        <w:rPr>
          <w:rFonts w:ascii="Times New Roman" w:hAnsi="Times New Roman" w:cs="Times New Roman"/>
          <w:color w:val="262626"/>
        </w:rPr>
        <w:t>’</w:t>
      </w:r>
      <w:r w:rsidR="00167243" w:rsidRPr="00A3176F">
        <w:rPr>
          <w:rFonts w:ascii="Times New Roman" w:hAnsi="Times New Roman" w:cs="Times New Roman"/>
          <w:color w:val="262626"/>
        </w:rPr>
        <w:t xml:space="preserve">. </w:t>
      </w:r>
    </w:p>
    <w:p w14:paraId="241F2E6E" w14:textId="03B101C6" w:rsidR="00960DCF" w:rsidRPr="00A3176F" w:rsidRDefault="00960DCF">
      <w:pPr>
        <w:rPr>
          <w:rFonts w:ascii="Times New Roman" w:hAnsi="Times New Roman" w:cs="Times New Roman"/>
          <w:color w:val="262626"/>
        </w:rPr>
      </w:pPr>
    </w:p>
    <w:p w14:paraId="389DB9C9" w14:textId="77777777" w:rsidR="001A4803" w:rsidRPr="00A3176F" w:rsidRDefault="001A4803">
      <w:pPr>
        <w:rPr>
          <w:rFonts w:ascii="Times New Roman" w:hAnsi="Times New Roman" w:cs="Times New Roman"/>
        </w:rPr>
      </w:pPr>
    </w:p>
    <w:p w14:paraId="5B44EAFB" w14:textId="4007BE12" w:rsidR="00960DCF" w:rsidRPr="00A3176F" w:rsidRDefault="007941AD" w:rsidP="007E5CE2">
      <w:pPr>
        <w:jc w:val="center"/>
        <w:rPr>
          <w:rFonts w:ascii="Times New Roman" w:hAnsi="Times New Roman" w:cs="Times New Roman"/>
          <w:b/>
        </w:rPr>
      </w:pPr>
      <w:r w:rsidRPr="00A3176F">
        <w:rPr>
          <w:rFonts w:ascii="Times New Roman" w:hAnsi="Times New Roman" w:cs="Times New Roman"/>
          <w:b/>
        </w:rPr>
        <w:t>V</w:t>
      </w:r>
    </w:p>
    <w:p w14:paraId="542C3C07" w14:textId="77777777" w:rsidR="007941AD" w:rsidRPr="00A3176F" w:rsidRDefault="007941AD">
      <w:pPr>
        <w:rPr>
          <w:rFonts w:ascii="Times New Roman" w:hAnsi="Times New Roman" w:cs="Times New Roman"/>
        </w:rPr>
      </w:pPr>
    </w:p>
    <w:p w14:paraId="0413971A" w14:textId="6B98E87E" w:rsidR="007941AD" w:rsidRPr="00A3176F" w:rsidRDefault="007941AD">
      <w:pPr>
        <w:rPr>
          <w:rFonts w:ascii="Times New Roman" w:hAnsi="Times New Roman" w:cs="Times New Roman"/>
        </w:rPr>
      </w:pPr>
      <w:r w:rsidRPr="00A3176F">
        <w:rPr>
          <w:rFonts w:ascii="Times New Roman" w:hAnsi="Times New Roman" w:cs="Times New Roman"/>
        </w:rPr>
        <w:t>In addition to these internal pressures, there is now an external pressure on the hor</w:t>
      </w:r>
      <w:r w:rsidR="00F636A5" w:rsidRPr="00A3176F">
        <w:rPr>
          <w:rFonts w:ascii="Times New Roman" w:hAnsi="Times New Roman" w:cs="Times New Roman"/>
        </w:rPr>
        <w:t xml:space="preserve">izon in the shape of the Transatlantic Trade and Investment Partnership (TTIP) – the </w:t>
      </w:r>
      <w:r w:rsidR="00F717CF" w:rsidRPr="00A3176F">
        <w:rPr>
          <w:rFonts w:ascii="Times New Roman" w:hAnsi="Times New Roman" w:cs="Times New Roman"/>
        </w:rPr>
        <w:t>proposed free trade agreement between the EU and</w:t>
      </w:r>
      <w:r w:rsidR="00F636A5" w:rsidRPr="00A3176F">
        <w:rPr>
          <w:rFonts w:ascii="Times New Roman" w:hAnsi="Times New Roman" w:cs="Times New Roman"/>
        </w:rPr>
        <w:t xml:space="preserve"> the United States.   This of course has been widely condemned for many reasons – its lack of transparency, the threat it presents to the NHS, and the powers it gives to multinational corporations to </w:t>
      </w:r>
      <w:r w:rsidR="008044DF" w:rsidRPr="00A3176F">
        <w:rPr>
          <w:rFonts w:ascii="Times New Roman" w:hAnsi="Times New Roman" w:cs="Times New Roman"/>
        </w:rPr>
        <w:t>sue governments in secret forums for any losses caused by various forms of national regulation ‘impeding’ free trade.</w:t>
      </w:r>
      <w:r w:rsidR="00F717CF" w:rsidRPr="00A3176F">
        <w:rPr>
          <w:rFonts w:ascii="Times New Roman" w:hAnsi="Times New Roman" w:cs="Times New Roman"/>
        </w:rPr>
        <w:t xml:space="preserve">   </w:t>
      </w:r>
      <w:r w:rsidR="00862F36" w:rsidRPr="00A3176F">
        <w:rPr>
          <w:rFonts w:ascii="Times New Roman" w:hAnsi="Times New Roman" w:cs="Times New Roman"/>
        </w:rPr>
        <w:t>There are also</w:t>
      </w:r>
      <w:r w:rsidR="00F717CF" w:rsidRPr="00A3176F">
        <w:rPr>
          <w:rFonts w:ascii="Times New Roman" w:hAnsi="Times New Roman" w:cs="Times New Roman"/>
        </w:rPr>
        <w:t xml:space="preserve"> concerns about workers’ rights.</w:t>
      </w:r>
      <w:r w:rsidR="00862F36" w:rsidRPr="00A3176F">
        <w:rPr>
          <w:rStyle w:val="FootnoteReference"/>
          <w:rFonts w:ascii="Times New Roman" w:hAnsi="Times New Roman" w:cs="Times New Roman"/>
        </w:rPr>
        <w:footnoteReference w:id="20"/>
      </w:r>
    </w:p>
    <w:p w14:paraId="367DF281" w14:textId="77777777" w:rsidR="00C652EE" w:rsidRPr="00A3176F" w:rsidRDefault="00C652EE">
      <w:pPr>
        <w:rPr>
          <w:rFonts w:ascii="Times New Roman" w:hAnsi="Times New Roman" w:cs="Times New Roman"/>
        </w:rPr>
      </w:pPr>
    </w:p>
    <w:p w14:paraId="4AAA4BE8" w14:textId="66512FD0" w:rsidR="00F717CF" w:rsidRPr="00A3176F" w:rsidRDefault="00C652EE" w:rsidP="001D4BD3">
      <w:pPr>
        <w:rPr>
          <w:rFonts w:ascii="Times New Roman" w:hAnsi="Times New Roman" w:cs="Times New Roman"/>
        </w:rPr>
      </w:pPr>
      <w:r w:rsidRPr="00A3176F">
        <w:rPr>
          <w:rFonts w:ascii="Times New Roman" w:hAnsi="Times New Roman" w:cs="Times New Roman"/>
        </w:rPr>
        <w:t xml:space="preserve">It is true that the </w:t>
      </w:r>
      <w:r w:rsidR="00F717CF" w:rsidRPr="00A3176F">
        <w:rPr>
          <w:rFonts w:ascii="Times New Roman" w:hAnsi="Times New Roman" w:cs="Times New Roman"/>
        </w:rPr>
        <w:t xml:space="preserve">EU is pushing for a </w:t>
      </w:r>
      <w:r w:rsidR="00596C40" w:rsidRPr="00A3176F">
        <w:rPr>
          <w:rFonts w:ascii="Times New Roman" w:hAnsi="Times New Roman" w:cs="Times New Roman"/>
        </w:rPr>
        <w:t>l</w:t>
      </w:r>
      <w:r w:rsidRPr="00A3176F">
        <w:rPr>
          <w:rFonts w:ascii="Times New Roman" w:hAnsi="Times New Roman" w:cs="Times New Roman"/>
        </w:rPr>
        <w:t>abour chapter</w:t>
      </w:r>
      <w:r w:rsidR="00F717CF" w:rsidRPr="00A3176F">
        <w:rPr>
          <w:rFonts w:ascii="Times New Roman" w:hAnsi="Times New Roman" w:cs="Times New Roman"/>
        </w:rPr>
        <w:t xml:space="preserve"> in TTIP, with the EU’s proposal being leaked last year.  This is a sl</w:t>
      </w:r>
      <w:r w:rsidR="00596C40" w:rsidRPr="00A3176F">
        <w:rPr>
          <w:rFonts w:ascii="Times New Roman" w:hAnsi="Times New Roman" w:cs="Times New Roman"/>
        </w:rPr>
        <w:t>ightly stronger version of the l</w:t>
      </w:r>
      <w:r w:rsidR="00F717CF" w:rsidRPr="00A3176F">
        <w:rPr>
          <w:rFonts w:ascii="Times New Roman" w:hAnsi="Times New Roman" w:cs="Times New Roman"/>
        </w:rPr>
        <w:t>abour chapter to be found in the EU-Korea free trade agreement that was signed off in 2010 .   It is also stronger than</w:t>
      </w:r>
      <w:r w:rsidRPr="00A3176F">
        <w:rPr>
          <w:rFonts w:ascii="Times New Roman" w:hAnsi="Times New Roman" w:cs="Times New Roman"/>
        </w:rPr>
        <w:t xml:space="preserve"> the Trans Pacific Pa</w:t>
      </w:r>
      <w:r w:rsidR="00D917EC" w:rsidRPr="00A3176F">
        <w:rPr>
          <w:rFonts w:ascii="Times New Roman" w:hAnsi="Times New Roman" w:cs="Times New Roman"/>
        </w:rPr>
        <w:t>rtnership (TPP)</w:t>
      </w:r>
      <w:r w:rsidR="00F717CF" w:rsidRPr="00A3176F">
        <w:rPr>
          <w:rFonts w:ascii="Times New Roman" w:hAnsi="Times New Roman" w:cs="Times New Roman"/>
        </w:rPr>
        <w:t>, the free trade zone for the United States’ Pacific Rim</w:t>
      </w:r>
      <w:r w:rsidR="00D917EC" w:rsidRPr="00A3176F">
        <w:rPr>
          <w:rFonts w:ascii="Times New Roman" w:hAnsi="Times New Roman" w:cs="Times New Roman"/>
        </w:rPr>
        <w:t>, as well as the multiple bilateral free trade agreements that have been promoted by the USA over the last 25 years or so.</w:t>
      </w:r>
      <w:r w:rsidR="00F717CF" w:rsidRPr="00A3176F">
        <w:rPr>
          <w:rFonts w:ascii="Times New Roman" w:hAnsi="Times New Roman" w:cs="Times New Roman"/>
        </w:rPr>
        <w:t xml:space="preserve">   Stronger in tone it may be; but there is no questio</w:t>
      </w:r>
      <w:r w:rsidR="001A7D0C" w:rsidRPr="00A3176F">
        <w:rPr>
          <w:rFonts w:ascii="Times New Roman" w:hAnsi="Times New Roman" w:cs="Times New Roman"/>
        </w:rPr>
        <w:t>n of the EU’s proposals having any</w:t>
      </w:r>
      <w:r w:rsidR="00F717CF" w:rsidRPr="00A3176F">
        <w:rPr>
          <w:rFonts w:ascii="Times New Roman" w:hAnsi="Times New Roman" w:cs="Times New Roman"/>
        </w:rPr>
        <w:t xml:space="preserve"> significant impact, even if accepted by the US.   </w:t>
      </w:r>
      <w:r w:rsidR="009649E6" w:rsidRPr="00A3176F">
        <w:rPr>
          <w:rFonts w:ascii="Times New Roman" w:hAnsi="Times New Roman" w:cs="Times New Roman"/>
        </w:rPr>
        <w:t xml:space="preserve">   </w:t>
      </w:r>
    </w:p>
    <w:p w14:paraId="5950722B" w14:textId="77777777" w:rsidR="00F717CF" w:rsidRPr="00A3176F" w:rsidRDefault="00F717CF" w:rsidP="001D4BD3">
      <w:pPr>
        <w:rPr>
          <w:rFonts w:ascii="Times New Roman" w:hAnsi="Times New Roman" w:cs="Times New Roman"/>
        </w:rPr>
      </w:pPr>
    </w:p>
    <w:p w14:paraId="2844E8A2" w14:textId="23EC3016" w:rsidR="001D4BD3" w:rsidRPr="00A3176F" w:rsidRDefault="00F717CF" w:rsidP="001D4BD3">
      <w:pPr>
        <w:rPr>
          <w:rFonts w:ascii="Times New Roman" w:hAnsi="Times New Roman" w:cs="Times New Roman"/>
        </w:rPr>
      </w:pPr>
      <w:r w:rsidRPr="00A3176F">
        <w:rPr>
          <w:rFonts w:ascii="Times New Roman" w:hAnsi="Times New Roman" w:cs="Times New Roman"/>
        </w:rPr>
        <w:t>Like all modern free trade agreements, the EU’s proposed</w:t>
      </w:r>
      <w:r w:rsidR="009649E6" w:rsidRPr="00A3176F">
        <w:rPr>
          <w:rFonts w:ascii="Times New Roman" w:hAnsi="Times New Roman" w:cs="Times New Roman"/>
        </w:rPr>
        <w:t xml:space="preserve"> labour chapter </w:t>
      </w:r>
      <w:r w:rsidRPr="00A3176F">
        <w:rPr>
          <w:rFonts w:ascii="Times New Roman" w:hAnsi="Times New Roman" w:cs="Times New Roman"/>
        </w:rPr>
        <w:t xml:space="preserve">for TTIP </w:t>
      </w:r>
      <w:r w:rsidR="00940E57" w:rsidRPr="00A3176F">
        <w:rPr>
          <w:rFonts w:ascii="Times New Roman" w:hAnsi="Times New Roman" w:cs="Times New Roman"/>
        </w:rPr>
        <w:t>c</w:t>
      </w:r>
      <w:r w:rsidR="006B4059" w:rsidRPr="00A3176F">
        <w:rPr>
          <w:rFonts w:ascii="Times New Roman" w:hAnsi="Times New Roman" w:cs="Times New Roman"/>
        </w:rPr>
        <w:t xml:space="preserve">ontains warm words about </w:t>
      </w:r>
      <w:r w:rsidR="001D4BD3" w:rsidRPr="00A3176F">
        <w:rPr>
          <w:rFonts w:ascii="Times New Roman" w:hAnsi="Times New Roman" w:cs="Times New Roman"/>
        </w:rPr>
        <w:t>collective</w:t>
      </w:r>
      <w:r w:rsidR="003B26E2" w:rsidRPr="00A3176F">
        <w:rPr>
          <w:rFonts w:ascii="Times New Roman" w:hAnsi="Times New Roman" w:cs="Times New Roman"/>
        </w:rPr>
        <w:t xml:space="preserve"> bargain</w:t>
      </w:r>
      <w:r w:rsidR="001A7D0C" w:rsidRPr="00A3176F">
        <w:rPr>
          <w:rFonts w:ascii="Times New Roman" w:hAnsi="Times New Roman" w:cs="Times New Roman"/>
        </w:rPr>
        <w:t>ing.  A</w:t>
      </w:r>
      <w:r w:rsidR="003B26E2" w:rsidRPr="00A3176F">
        <w:rPr>
          <w:rFonts w:ascii="Times New Roman" w:hAnsi="Times New Roman" w:cs="Times New Roman"/>
        </w:rPr>
        <w:t>rti</w:t>
      </w:r>
      <w:r w:rsidR="001D4BD3" w:rsidRPr="00A3176F">
        <w:rPr>
          <w:rFonts w:ascii="Times New Roman" w:hAnsi="Times New Roman" w:cs="Times New Roman"/>
        </w:rPr>
        <w:t xml:space="preserve">cle 4 of the </w:t>
      </w:r>
      <w:r w:rsidRPr="00A3176F">
        <w:rPr>
          <w:rFonts w:ascii="Times New Roman" w:hAnsi="Times New Roman" w:cs="Times New Roman"/>
        </w:rPr>
        <w:t>draft</w:t>
      </w:r>
      <w:r w:rsidR="001A7D0C" w:rsidRPr="00A3176F">
        <w:rPr>
          <w:rFonts w:ascii="Times New Roman" w:hAnsi="Times New Roman" w:cs="Times New Roman"/>
        </w:rPr>
        <w:t xml:space="preserve"> proposes</w:t>
      </w:r>
      <w:r w:rsidR="001D4BD3" w:rsidRPr="00A3176F">
        <w:rPr>
          <w:rFonts w:ascii="Times New Roman" w:hAnsi="Times New Roman" w:cs="Times New Roman"/>
        </w:rPr>
        <w:t xml:space="preserve"> </w:t>
      </w:r>
      <w:r w:rsidR="00E06ED8" w:rsidRPr="00A3176F">
        <w:rPr>
          <w:rFonts w:ascii="Times New Roman" w:hAnsi="Times New Roman" w:cs="Times New Roman"/>
        </w:rPr>
        <w:t xml:space="preserve">to </w:t>
      </w:r>
      <w:r w:rsidR="001D4BD3" w:rsidRPr="00A3176F">
        <w:rPr>
          <w:rFonts w:ascii="Times New Roman" w:hAnsi="Times New Roman" w:cs="Times New Roman"/>
        </w:rPr>
        <w:t>commit all parties to the ILO Declaration</w:t>
      </w:r>
      <w:r w:rsidR="00D83525" w:rsidRPr="00A3176F">
        <w:rPr>
          <w:rFonts w:ascii="Times New Roman" w:hAnsi="Times New Roman" w:cs="Times New Roman"/>
        </w:rPr>
        <w:t xml:space="preserve"> on Fundamental Principles and Rights at Work (1998)</w:t>
      </w:r>
      <w:r w:rsidR="00820B99" w:rsidRPr="00A3176F">
        <w:rPr>
          <w:rFonts w:ascii="Times New Roman" w:hAnsi="Times New Roman" w:cs="Times New Roman"/>
        </w:rPr>
        <w:t>, and thereby ensure that their</w:t>
      </w:r>
      <w:r w:rsidR="00841FB3" w:rsidRPr="00A3176F">
        <w:rPr>
          <w:rFonts w:ascii="Times New Roman" w:hAnsi="Times New Roman" w:cs="Times New Roman"/>
        </w:rPr>
        <w:t xml:space="preserve"> laws and practices respect, promote and realize internationally recognized core labour standards, which are ‘the subject of </w:t>
      </w:r>
      <w:r w:rsidR="001A7D0C" w:rsidRPr="00A3176F">
        <w:rPr>
          <w:rFonts w:ascii="Times New Roman" w:hAnsi="Times New Roman" w:cs="Times New Roman"/>
        </w:rPr>
        <w:t>t</w:t>
      </w:r>
      <w:r w:rsidR="00841FB3" w:rsidRPr="00A3176F">
        <w:rPr>
          <w:rFonts w:ascii="Times New Roman" w:hAnsi="Times New Roman" w:cs="Times New Roman"/>
        </w:rPr>
        <w:t>he funda</w:t>
      </w:r>
      <w:r w:rsidR="001A7D0C" w:rsidRPr="00A3176F">
        <w:rPr>
          <w:rFonts w:ascii="Times New Roman" w:hAnsi="Times New Roman" w:cs="Times New Roman"/>
        </w:rPr>
        <w:t>mental ILO Conventions’.   The latter</w:t>
      </w:r>
      <w:r w:rsidR="00841FB3" w:rsidRPr="00A3176F">
        <w:rPr>
          <w:rFonts w:ascii="Times New Roman" w:hAnsi="Times New Roman" w:cs="Times New Roman"/>
        </w:rPr>
        <w:t xml:space="preserve"> include ‘freedom of association and the effective recognition of the right to collective bargaining</w:t>
      </w:r>
      <w:r w:rsidR="001A7D0C" w:rsidRPr="00A3176F">
        <w:rPr>
          <w:rFonts w:ascii="Times New Roman" w:hAnsi="Times New Roman" w:cs="Times New Roman"/>
        </w:rPr>
        <w:t>’</w:t>
      </w:r>
      <w:r w:rsidR="00841FB3" w:rsidRPr="00A3176F">
        <w:rPr>
          <w:rFonts w:ascii="Times New Roman" w:hAnsi="Times New Roman" w:cs="Times New Roman"/>
        </w:rPr>
        <w:t>.</w:t>
      </w:r>
    </w:p>
    <w:p w14:paraId="60C6DF50" w14:textId="77777777" w:rsidR="00841FB3" w:rsidRPr="00A3176F" w:rsidRDefault="00841FB3" w:rsidP="001D4BD3">
      <w:pPr>
        <w:rPr>
          <w:rFonts w:ascii="Times New Roman" w:hAnsi="Times New Roman" w:cs="Times New Roman"/>
        </w:rPr>
      </w:pPr>
    </w:p>
    <w:p w14:paraId="4871F819" w14:textId="36FD8FD7" w:rsidR="00841FB3" w:rsidRPr="00A3176F" w:rsidRDefault="00841FB3" w:rsidP="001D4BD3">
      <w:pPr>
        <w:rPr>
          <w:rFonts w:ascii="Times New Roman" w:hAnsi="Times New Roman" w:cs="Times New Roman"/>
        </w:rPr>
      </w:pPr>
      <w:r w:rsidRPr="00A3176F">
        <w:rPr>
          <w:rFonts w:ascii="Times New Roman" w:hAnsi="Times New Roman" w:cs="Times New Roman"/>
        </w:rPr>
        <w:t>More importantly for some perhaps is a proposal with no counterpart in TTP that the parties should make ‘sustained efforts towards ratifying the fundamental ILO Conventions and their Protocols’.   This reveals a lot, because it reminds us that the United States has one of the lowest level</w:t>
      </w:r>
      <w:r w:rsidR="00820B99" w:rsidRPr="00A3176F">
        <w:rPr>
          <w:rFonts w:ascii="Times New Roman" w:hAnsi="Times New Roman" w:cs="Times New Roman"/>
        </w:rPr>
        <w:t>s</w:t>
      </w:r>
      <w:r w:rsidRPr="00A3176F">
        <w:rPr>
          <w:rFonts w:ascii="Times New Roman" w:hAnsi="Times New Roman" w:cs="Times New Roman"/>
        </w:rPr>
        <w:t xml:space="preserve"> of ratification of ILO Conventions in the world, having rarifie</w:t>
      </w:r>
      <w:r w:rsidR="001A7D0C" w:rsidRPr="00A3176F">
        <w:rPr>
          <w:rFonts w:ascii="Times New Roman" w:hAnsi="Times New Roman" w:cs="Times New Roman"/>
        </w:rPr>
        <w:t>d only **, and one of the lowest</w:t>
      </w:r>
      <w:r w:rsidRPr="00A3176F">
        <w:rPr>
          <w:rFonts w:ascii="Times New Roman" w:hAnsi="Times New Roman" w:cs="Times New Roman"/>
        </w:rPr>
        <w:t xml:space="preserve"> levels of ratification of the fundamental or core Conventions, having ratified only two of the eight.  These two do not include either of the freedom of association conventions</w:t>
      </w:r>
      <w:r w:rsidR="00C97FD1" w:rsidRPr="00A3176F">
        <w:rPr>
          <w:rFonts w:ascii="Times New Roman" w:hAnsi="Times New Roman" w:cs="Times New Roman"/>
        </w:rPr>
        <w:t xml:space="preserve"> (Conventions 87 and 98).</w:t>
      </w:r>
    </w:p>
    <w:p w14:paraId="18D219B7" w14:textId="77777777" w:rsidR="001D4BD3" w:rsidRPr="00A3176F" w:rsidRDefault="001D4BD3" w:rsidP="001D4BD3">
      <w:pPr>
        <w:rPr>
          <w:rFonts w:ascii="Times New Roman" w:hAnsi="Times New Roman" w:cs="Times New Roman"/>
        </w:rPr>
      </w:pPr>
    </w:p>
    <w:p w14:paraId="7426C0BB" w14:textId="25123FEC" w:rsidR="009C7F19" w:rsidRPr="00A3176F" w:rsidRDefault="001C1A9F" w:rsidP="001D4BD3">
      <w:pPr>
        <w:rPr>
          <w:rFonts w:ascii="Times New Roman" w:hAnsi="Times New Roman" w:cs="Times New Roman"/>
        </w:rPr>
      </w:pPr>
      <w:r w:rsidRPr="00A3176F">
        <w:rPr>
          <w:rFonts w:ascii="Times New Roman" w:hAnsi="Times New Roman" w:cs="Times New Roman"/>
        </w:rPr>
        <w:t>But even if</w:t>
      </w:r>
      <w:r w:rsidR="001A7D0C" w:rsidRPr="00A3176F">
        <w:rPr>
          <w:rFonts w:ascii="Times New Roman" w:hAnsi="Times New Roman" w:cs="Times New Roman"/>
        </w:rPr>
        <w:t xml:space="preserve"> the US agrees</w:t>
      </w:r>
      <w:r w:rsidR="001D4BD3" w:rsidRPr="00A3176F">
        <w:rPr>
          <w:rFonts w:ascii="Times New Roman" w:hAnsi="Times New Roman" w:cs="Times New Roman"/>
        </w:rPr>
        <w:t xml:space="preserve"> to</w:t>
      </w:r>
      <w:r w:rsidRPr="00A3176F">
        <w:rPr>
          <w:rFonts w:ascii="Times New Roman" w:hAnsi="Times New Roman" w:cs="Times New Roman"/>
        </w:rPr>
        <w:t xml:space="preserve"> the EU’s toughest demands, a</w:t>
      </w:r>
      <w:r w:rsidR="000708C8" w:rsidRPr="00A3176F">
        <w:rPr>
          <w:rFonts w:ascii="Times New Roman" w:hAnsi="Times New Roman" w:cs="Times New Roman"/>
        </w:rPr>
        <w:t xml:space="preserve">ll it would be required to do would be to make sustained efforts to ratify, not that it would be under an unconditional obligation to do so.   </w:t>
      </w:r>
      <w:r w:rsidR="001D4BD3" w:rsidRPr="00A3176F">
        <w:rPr>
          <w:rFonts w:ascii="Times New Roman" w:hAnsi="Times New Roman" w:cs="Times New Roman"/>
        </w:rPr>
        <w:t xml:space="preserve"> </w:t>
      </w:r>
      <w:r w:rsidR="000708C8" w:rsidRPr="00A3176F">
        <w:rPr>
          <w:rFonts w:ascii="Times New Roman" w:hAnsi="Times New Roman" w:cs="Times New Roman"/>
        </w:rPr>
        <w:t xml:space="preserve">The EU cannot make it an unconditional obligation because everyone knows that US labor </w:t>
      </w:r>
      <w:r w:rsidR="001A7D0C" w:rsidRPr="00A3176F">
        <w:rPr>
          <w:rFonts w:ascii="Times New Roman" w:hAnsi="Times New Roman" w:cs="Times New Roman"/>
        </w:rPr>
        <w:t xml:space="preserve">law </w:t>
      </w:r>
      <w:r w:rsidR="000708C8" w:rsidRPr="00A3176F">
        <w:rPr>
          <w:rFonts w:ascii="Times New Roman" w:hAnsi="Times New Roman" w:cs="Times New Roman"/>
        </w:rPr>
        <w:t xml:space="preserve">is broken and cannot be fixed.   Even modest reforms to patch up the system to meet ILO </w:t>
      </w:r>
      <w:r w:rsidR="009C7F19" w:rsidRPr="00A3176F">
        <w:rPr>
          <w:rFonts w:ascii="Times New Roman" w:hAnsi="Times New Roman" w:cs="Times New Roman"/>
        </w:rPr>
        <w:t>criticism are impossible, simply</w:t>
      </w:r>
      <w:r w:rsidR="000708C8" w:rsidRPr="00A3176F">
        <w:rPr>
          <w:rFonts w:ascii="Times New Roman" w:hAnsi="Times New Roman" w:cs="Times New Roman"/>
        </w:rPr>
        <w:t xml:space="preserve"> because of the political power wielded by special corporate interests </w:t>
      </w:r>
      <w:r w:rsidR="001B3861" w:rsidRPr="00A3176F">
        <w:rPr>
          <w:rFonts w:ascii="Times New Roman" w:hAnsi="Times New Roman" w:cs="Times New Roman"/>
        </w:rPr>
        <w:t xml:space="preserve">(notably in the Senate) </w:t>
      </w:r>
      <w:r w:rsidR="001A7D0C" w:rsidRPr="00A3176F">
        <w:rPr>
          <w:rFonts w:ascii="Times New Roman" w:hAnsi="Times New Roman" w:cs="Times New Roman"/>
        </w:rPr>
        <w:t>that</w:t>
      </w:r>
      <w:r w:rsidR="000708C8" w:rsidRPr="00A3176F">
        <w:rPr>
          <w:rFonts w:ascii="Times New Roman" w:hAnsi="Times New Roman" w:cs="Times New Roman"/>
        </w:rPr>
        <w:t xml:space="preserve"> </w:t>
      </w:r>
      <w:r w:rsidR="009C7F19" w:rsidRPr="00A3176F">
        <w:rPr>
          <w:rFonts w:ascii="Times New Roman" w:hAnsi="Times New Roman" w:cs="Times New Roman"/>
        </w:rPr>
        <w:t>have frustrated C</w:t>
      </w:r>
      <w:r w:rsidR="000708C8" w:rsidRPr="00A3176F">
        <w:rPr>
          <w:rFonts w:ascii="Times New Roman" w:hAnsi="Times New Roman" w:cs="Times New Roman"/>
        </w:rPr>
        <w:t xml:space="preserve">arter, Clinton and now Obama. </w:t>
      </w:r>
      <w:r w:rsidR="009C7F19" w:rsidRPr="00A3176F">
        <w:rPr>
          <w:rFonts w:ascii="Times New Roman" w:hAnsi="Times New Roman" w:cs="Times New Roman"/>
        </w:rPr>
        <w:t xml:space="preserve"> So nothing will </w:t>
      </w:r>
      <w:r w:rsidR="000708C8" w:rsidRPr="00A3176F">
        <w:rPr>
          <w:rFonts w:ascii="Times New Roman" w:hAnsi="Times New Roman" w:cs="Times New Roman"/>
        </w:rPr>
        <w:t xml:space="preserve">change, </w:t>
      </w:r>
      <w:r w:rsidR="009C7F19" w:rsidRPr="00A3176F">
        <w:rPr>
          <w:rFonts w:ascii="Times New Roman" w:hAnsi="Times New Roman" w:cs="Times New Roman"/>
        </w:rPr>
        <w:t>because nothing can change.</w:t>
      </w:r>
    </w:p>
    <w:p w14:paraId="120BA37B" w14:textId="77777777" w:rsidR="00E06ED8" w:rsidRPr="00A3176F" w:rsidRDefault="00E06ED8" w:rsidP="001D4BD3">
      <w:pPr>
        <w:rPr>
          <w:rFonts w:ascii="Times New Roman" w:hAnsi="Times New Roman" w:cs="Times New Roman"/>
        </w:rPr>
      </w:pPr>
    </w:p>
    <w:p w14:paraId="638B575C" w14:textId="2349EE35" w:rsidR="00E06ED8" w:rsidRPr="00A3176F" w:rsidRDefault="00E06ED8" w:rsidP="001D4BD3">
      <w:pPr>
        <w:rPr>
          <w:rFonts w:ascii="Times New Roman" w:hAnsi="Times New Roman" w:cs="Times New Roman"/>
        </w:rPr>
      </w:pPr>
      <w:r w:rsidRPr="00A3176F">
        <w:rPr>
          <w:rFonts w:ascii="Times New Roman" w:hAnsi="Times New Roman" w:cs="Times New Roman"/>
        </w:rPr>
        <w:t xml:space="preserve">This means that </w:t>
      </w:r>
      <w:r w:rsidR="009C7F19" w:rsidRPr="00A3176F">
        <w:rPr>
          <w:rFonts w:ascii="Times New Roman" w:hAnsi="Times New Roman" w:cs="Times New Roman"/>
        </w:rPr>
        <w:t xml:space="preserve">under TTIP the United States will continue to operate through the dysfunctional medium of the NLRA.   </w:t>
      </w:r>
      <w:r w:rsidR="00D62357" w:rsidRPr="00A3176F">
        <w:rPr>
          <w:rFonts w:ascii="Times New Roman" w:hAnsi="Times New Roman" w:cs="Times New Roman"/>
        </w:rPr>
        <w:t xml:space="preserve">In a system of open competition under free trade, there will be compelling pressure towards regulatory convergence, </w:t>
      </w:r>
      <w:r w:rsidR="00D307D8" w:rsidRPr="00A3176F">
        <w:rPr>
          <w:rFonts w:ascii="Times New Roman" w:hAnsi="Times New Roman" w:cs="Times New Roman"/>
        </w:rPr>
        <w:t>with</w:t>
      </w:r>
      <w:r w:rsidR="00D62357" w:rsidRPr="00A3176F">
        <w:rPr>
          <w:rFonts w:ascii="Times New Roman" w:hAnsi="Times New Roman" w:cs="Times New Roman"/>
        </w:rPr>
        <w:t xml:space="preserve"> the US model an irresistible magnetic force.   </w:t>
      </w:r>
      <w:r w:rsidR="0008549E" w:rsidRPr="00A3176F">
        <w:rPr>
          <w:rFonts w:ascii="Times New Roman" w:hAnsi="Times New Roman" w:cs="Times New Roman"/>
        </w:rPr>
        <w:t xml:space="preserve">Even if there was the political will to do so (which there is not), the Americans are </w:t>
      </w:r>
      <w:r w:rsidR="00D307D8" w:rsidRPr="00A3176F">
        <w:rPr>
          <w:rFonts w:ascii="Times New Roman" w:hAnsi="Times New Roman" w:cs="Times New Roman"/>
        </w:rPr>
        <w:t>in no position</w:t>
      </w:r>
      <w:r w:rsidR="00130D7B" w:rsidRPr="00A3176F">
        <w:rPr>
          <w:rFonts w:ascii="Times New Roman" w:hAnsi="Times New Roman" w:cs="Times New Roman"/>
        </w:rPr>
        <w:t xml:space="preserve"> constitutionally</w:t>
      </w:r>
      <w:r w:rsidR="0008549E" w:rsidRPr="00A3176F">
        <w:rPr>
          <w:rFonts w:ascii="Times New Roman" w:hAnsi="Times New Roman" w:cs="Times New Roman"/>
        </w:rPr>
        <w:t xml:space="preserve"> to move in the</w:t>
      </w:r>
      <w:r w:rsidR="00D307D8" w:rsidRPr="00A3176F">
        <w:rPr>
          <w:rFonts w:ascii="Times New Roman" w:hAnsi="Times New Roman" w:cs="Times New Roman"/>
        </w:rPr>
        <w:t xml:space="preserve"> European direction, which in any event is already moving through internal pressures to embrace the </w:t>
      </w:r>
      <w:r w:rsidR="00130D7B" w:rsidRPr="00A3176F">
        <w:rPr>
          <w:rFonts w:ascii="Times New Roman" w:hAnsi="Times New Roman" w:cs="Times New Roman"/>
        </w:rPr>
        <w:t>NLRA</w:t>
      </w:r>
      <w:r w:rsidR="00D307D8" w:rsidRPr="00A3176F">
        <w:rPr>
          <w:rFonts w:ascii="Times New Roman" w:hAnsi="Times New Roman" w:cs="Times New Roman"/>
        </w:rPr>
        <w:t xml:space="preserve"> model.</w:t>
      </w:r>
      <w:r w:rsidR="008A11DA" w:rsidRPr="00A3176F">
        <w:rPr>
          <w:rFonts w:ascii="Times New Roman" w:hAnsi="Times New Roman" w:cs="Times New Roman"/>
        </w:rPr>
        <w:t xml:space="preserve"> </w:t>
      </w:r>
      <w:r w:rsidR="003B35F3" w:rsidRPr="00A3176F">
        <w:rPr>
          <w:rFonts w:ascii="Times New Roman" w:hAnsi="Times New Roman" w:cs="Times New Roman"/>
        </w:rPr>
        <w:t xml:space="preserve">  Under TTIP and TTP</w:t>
      </w:r>
      <w:r w:rsidR="0013276E" w:rsidRPr="00A3176F">
        <w:rPr>
          <w:rFonts w:ascii="Times New Roman" w:hAnsi="Times New Roman" w:cs="Times New Roman"/>
        </w:rPr>
        <w:t xml:space="preserve"> the </w:t>
      </w:r>
      <w:r w:rsidR="009C7F19" w:rsidRPr="00A3176F">
        <w:rPr>
          <w:rFonts w:ascii="Times New Roman" w:hAnsi="Times New Roman" w:cs="Times New Roman"/>
        </w:rPr>
        <w:t>NLRA</w:t>
      </w:r>
      <w:r w:rsidR="0013276E" w:rsidRPr="00A3176F">
        <w:rPr>
          <w:rFonts w:ascii="Times New Roman" w:hAnsi="Times New Roman" w:cs="Times New Roman"/>
        </w:rPr>
        <w:t xml:space="preserve"> </w:t>
      </w:r>
      <w:r w:rsidR="009C7F19" w:rsidRPr="00A3176F">
        <w:rPr>
          <w:rFonts w:ascii="Times New Roman" w:hAnsi="Times New Roman" w:cs="Times New Roman"/>
        </w:rPr>
        <w:t xml:space="preserve">will </w:t>
      </w:r>
      <w:r w:rsidR="0013276E" w:rsidRPr="00A3176F">
        <w:rPr>
          <w:rFonts w:ascii="Times New Roman" w:hAnsi="Times New Roman" w:cs="Times New Roman"/>
        </w:rPr>
        <w:t>become th</w:t>
      </w:r>
      <w:r w:rsidR="00130D7B" w:rsidRPr="00A3176F">
        <w:rPr>
          <w:rFonts w:ascii="Times New Roman" w:hAnsi="Times New Roman" w:cs="Times New Roman"/>
        </w:rPr>
        <w:t>e Transnational Labor Relations Act</w:t>
      </w:r>
      <w:r w:rsidR="0013276E" w:rsidRPr="00A3176F">
        <w:rPr>
          <w:rFonts w:ascii="Times New Roman" w:hAnsi="Times New Roman" w:cs="Times New Roman"/>
        </w:rPr>
        <w:t>.</w:t>
      </w:r>
      <w:r w:rsidR="008A11DA" w:rsidRPr="00A3176F">
        <w:rPr>
          <w:rFonts w:ascii="Times New Roman" w:hAnsi="Times New Roman" w:cs="Times New Roman"/>
        </w:rPr>
        <w:t xml:space="preserve"> </w:t>
      </w:r>
    </w:p>
    <w:p w14:paraId="003B3B13" w14:textId="77777777" w:rsidR="00EB35FE" w:rsidRPr="00A3176F" w:rsidRDefault="00EB35FE" w:rsidP="001D4BD3">
      <w:pPr>
        <w:rPr>
          <w:rFonts w:ascii="Times New Roman" w:hAnsi="Times New Roman" w:cs="Times New Roman"/>
        </w:rPr>
      </w:pPr>
    </w:p>
    <w:p w14:paraId="0BFE3B00" w14:textId="77777777" w:rsidR="00E06ED8" w:rsidRPr="00A3176F" w:rsidRDefault="00E06ED8" w:rsidP="00E06ED8">
      <w:pPr>
        <w:jc w:val="center"/>
        <w:rPr>
          <w:rFonts w:ascii="Times New Roman" w:hAnsi="Times New Roman" w:cs="Times New Roman"/>
          <w:b/>
        </w:rPr>
      </w:pPr>
    </w:p>
    <w:p w14:paraId="7B55EAE4" w14:textId="2A21265D" w:rsidR="00EB35FE" w:rsidRPr="00A3176F" w:rsidRDefault="00EB35FE" w:rsidP="00E06ED8">
      <w:pPr>
        <w:jc w:val="center"/>
        <w:rPr>
          <w:rFonts w:ascii="Times New Roman" w:hAnsi="Times New Roman" w:cs="Times New Roman"/>
          <w:b/>
        </w:rPr>
      </w:pPr>
      <w:r w:rsidRPr="00A3176F">
        <w:rPr>
          <w:rFonts w:ascii="Times New Roman" w:hAnsi="Times New Roman" w:cs="Times New Roman"/>
          <w:b/>
        </w:rPr>
        <w:t>VI</w:t>
      </w:r>
    </w:p>
    <w:p w14:paraId="18CCFF28" w14:textId="5A37C31C" w:rsidR="00C652EE" w:rsidRPr="00A3176F" w:rsidRDefault="00C652EE">
      <w:pPr>
        <w:rPr>
          <w:rFonts w:ascii="Times New Roman" w:hAnsi="Times New Roman" w:cs="Times New Roman"/>
        </w:rPr>
      </w:pPr>
      <w:r w:rsidRPr="00A3176F">
        <w:rPr>
          <w:rFonts w:ascii="Times New Roman" w:hAnsi="Times New Roman" w:cs="Times New Roman"/>
        </w:rPr>
        <w:t xml:space="preserve"> </w:t>
      </w:r>
    </w:p>
    <w:p w14:paraId="71158A6B" w14:textId="482B0A77" w:rsidR="00130D7B" w:rsidRPr="00A3176F" w:rsidRDefault="00130D7B">
      <w:pPr>
        <w:rPr>
          <w:rFonts w:ascii="Times New Roman" w:hAnsi="Times New Roman" w:cs="Times New Roman"/>
          <w:color w:val="262626"/>
        </w:rPr>
      </w:pPr>
      <w:r w:rsidRPr="00A3176F">
        <w:rPr>
          <w:rFonts w:ascii="Times New Roman" w:hAnsi="Times New Roman" w:cs="Times New Roman"/>
        </w:rPr>
        <w:t xml:space="preserve">Which takes us back to the </w:t>
      </w:r>
      <w:r w:rsidRPr="00A3176F">
        <w:rPr>
          <w:rFonts w:ascii="Times New Roman" w:hAnsi="Times New Roman" w:cs="Times New Roman"/>
          <w:i/>
          <w:color w:val="262626"/>
        </w:rPr>
        <w:t xml:space="preserve">Schechter </w:t>
      </w:r>
      <w:r w:rsidRPr="00A3176F">
        <w:rPr>
          <w:rFonts w:ascii="Times New Roman" w:hAnsi="Times New Roman" w:cs="Times New Roman"/>
          <w:color w:val="262626"/>
        </w:rPr>
        <w:t xml:space="preserve">case and its implications for contemporary politics.   It is to be recalled that in this case the inflexible, liberal democratic </w:t>
      </w:r>
      <w:r w:rsidR="00320F2C" w:rsidRPr="00A3176F">
        <w:rPr>
          <w:rFonts w:ascii="Times New Roman" w:hAnsi="Times New Roman" w:cs="Times New Roman"/>
          <w:color w:val="262626"/>
        </w:rPr>
        <w:t xml:space="preserve">US </w:t>
      </w:r>
      <w:r w:rsidRPr="00A3176F">
        <w:rPr>
          <w:rFonts w:ascii="Times New Roman" w:hAnsi="Times New Roman" w:cs="Times New Roman"/>
          <w:color w:val="262626"/>
        </w:rPr>
        <w:t xml:space="preserve">constitution </w:t>
      </w:r>
      <w:r w:rsidR="001B3861" w:rsidRPr="00A3176F">
        <w:rPr>
          <w:rFonts w:ascii="Times New Roman" w:hAnsi="Times New Roman" w:cs="Times New Roman"/>
          <w:color w:val="262626"/>
        </w:rPr>
        <w:t xml:space="preserve">effectively </w:t>
      </w:r>
      <w:r w:rsidRPr="00A3176F">
        <w:rPr>
          <w:rFonts w:ascii="Times New Roman" w:hAnsi="Times New Roman" w:cs="Times New Roman"/>
          <w:color w:val="262626"/>
        </w:rPr>
        <w:t>prohibited regulatory style collective bargaining.   The US has a different kind of collective bargaining partly as a result, which because of the power of what Jack London o</w:t>
      </w:r>
      <w:r w:rsidR="00C622D5" w:rsidRPr="00A3176F">
        <w:rPr>
          <w:rFonts w:ascii="Times New Roman" w:hAnsi="Times New Roman" w:cs="Times New Roman"/>
          <w:color w:val="262626"/>
        </w:rPr>
        <w:t>nce referred to with great prescience as the oligarchy</w:t>
      </w:r>
      <w:r w:rsidRPr="00A3176F">
        <w:rPr>
          <w:rFonts w:ascii="Times New Roman" w:hAnsi="Times New Roman" w:cs="Times New Roman"/>
          <w:color w:val="262626"/>
        </w:rPr>
        <w:t>,</w:t>
      </w:r>
      <w:r w:rsidR="00820B15" w:rsidRPr="00A3176F">
        <w:rPr>
          <w:rStyle w:val="FootnoteReference"/>
          <w:rFonts w:ascii="Times New Roman" w:hAnsi="Times New Roman" w:cs="Times New Roman"/>
          <w:color w:val="262626"/>
        </w:rPr>
        <w:footnoteReference w:id="21"/>
      </w:r>
      <w:r w:rsidRPr="00A3176F">
        <w:rPr>
          <w:rFonts w:ascii="Times New Roman" w:hAnsi="Times New Roman" w:cs="Times New Roman"/>
          <w:color w:val="262626"/>
        </w:rPr>
        <w:t xml:space="preserve"> or what we might now refer to as American plutocracy,</w:t>
      </w:r>
      <w:r w:rsidR="00820B15" w:rsidRPr="00A3176F">
        <w:rPr>
          <w:rStyle w:val="FootnoteReference"/>
          <w:rFonts w:ascii="Times New Roman" w:hAnsi="Times New Roman" w:cs="Times New Roman"/>
          <w:color w:val="262626"/>
        </w:rPr>
        <w:footnoteReference w:id="22"/>
      </w:r>
      <w:r w:rsidRPr="00A3176F">
        <w:rPr>
          <w:rFonts w:ascii="Times New Roman" w:hAnsi="Times New Roman" w:cs="Times New Roman"/>
          <w:color w:val="262626"/>
        </w:rPr>
        <w:t xml:space="preserve"> is incapable of improvement.</w:t>
      </w:r>
      <w:r w:rsidR="00320F2C" w:rsidRPr="00A3176F">
        <w:rPr>
          <w:rFonts w:ascii="Times New Roman" w:hAnsi="Times New Roman" w:cs="Times New Roman"/>
          <w:color w:val="262626"/>
        </w:rPr>
        <w:t xml:space="preserve">   Corporate interests control US politics, and these interests are not prepared to tolerate even modest </w:t>
      </w:r>
      <w:r w:rsidR="009E3F1E" w:rsidRPr="00A3176F">
        <w:rPr>
          <w:rFonts w:ascii="Times New Roman" w:hAnsi="Times New Roman" w:cs="Times New Roman"/>
          <w:color w:val="262626"/>
        </w:rPr>
        <w:t>changes to the existing system.</w:t>
      </w:r>
      <w:r w:rsidRPr="00A3176F">
        <w:rPr>
          <w:rFonts w:ascii="Times New Roman" w:hAnsi="Times New Roman" w:cs="Times New Roman"/>
          <w:color w:val="262626"/>
        </w:rPr>
        <w:t xml:space="preserve">   </w:t>
      </w:r>
    </w:p>
    <w:p w14:paraId="6819C7F7" w14:textId="77777777" w:rsidR="00130D7B" w:rsidRPr="00A3176F" w:rsidRDefault="00130D7B">
      <w:pPr>
        <w:rPr>
          <w:rFonts w:ascii="Times New Roman" w:hAnsi="Times New Roman" w:cs="Times New Roman"/>
          <w:color w:val="262626"/>
        </w:rPr>
      </w:pPr>
    </w:p>
    <w:p w14:paraId="384DC5EA" w14:textId="4BE80FB5" w:rsidR="009E3F1E" w:rsidRPr="00A3176F" w:rsidRDefault="009E3F1E">
      <w:pPr>
        <w:rPr>
          <w:rFonts w:ascii="Times New Roman" w:hAnsi="Times New Roman" w:cs="Times New Roman"/>
          <w:color w:val="262626"/>
        </w:rPr>
      </w:pPr>
      <w:r w:rsidRPr="00A3176F">
        <w:rPr>
          <w:rFonts w:ascii="Times New Roman" w:hAnsi="Times New Roman" w:cs="Times New Roman"/>
          <w:color w:val="262626"/>
        </w:rPr>
        <w:t>The</w:t>
      </w:r>
      <w:r w:rsidR="00130D7B" w:rsidRPr="00A3176F">
        <w:rPr>
          <w:rFonts w:ascii="Times New Roman" w:hAnsi="Times New Roman" w:cs="Times New Roman"/>
          <w:color w:val="262626"/>
        </w:rPr>
        <w:t xml:space="preserve"> world of free trade</w:t>
      </w:r>
      <w:r w:rsidR="004F761F" w:rsidRPr="00A3176F">
        <w:rPr>
          <w:rFonts w:ascii="Times New Roman" w:hAnsi="Times New Roman" w:cs="Times New Roman"/>
          <w:color w:val="262626"/>
        </w:rPr>
        <w:t xml:space="preserve"> paradoxically</w:t>
      </w:r>
      <w:r w:rsidR="00130D7B" w:rsidRPr="00A3176F">
        <w:rPr>
          <w:rFonts w:ascii="Times New Roman" w:hAnsi="Times New Roman" w:cs="Times New Roman"/>
          <w:color w:val="262626"/>
        </w:rPr>
        <w:t xml:space="preserve"> also embraces a </w:t>
      </w:r>
      <w:r w:rsidR="00320F2C" w:rsidRPr="00A3176F">
        <w:rPr>
          <w:rFonts w:ascii="Times New Roman" w:hAnsi="Times New Roman" w:cs="Times New Roman"/>
          <w:color w:val="262626"/>
        </w:rPr>
        <w:t xml:space="preserve">doubtful commitment to collective bargaining, </w:t>
      </w:r>
      <w:r w:rsidRPr="00A3176F">
        <w:rPr>
          <w:rFonts w:ascii="Times New Roman" w:hAnsi="Times New Roman" w:cs="Times New Roman"/>
          <w:color w:val="262626"/>
        </w:rPr>
        <w:t>quite explicitly to ‘level the playing field for American workers and businesses’.</w:t>
      </w:r>
      <w:r w:rsidR="00C622D5" w:rsidRPr="00A3176F">
        <w:rPr>
          <w:rStyle w:val="FootnoteReference"/>
          <w:rFonts w:ascii="Times New Roman" w:hAnsi="Times New Roman" w:cs="Times New Roman"/>
          <w:color w:val="262626"/>
        </w:rPr>
        <w:footnoteReference w:id="23"/>
      </w:r>
      <w:r w:rsidRPr="00A3176F">
        <w:rPr>
          <w:rFonts w:ascii="Times New Roman" w:hAnsi="Times New Roman" w:cs="Times New Roman"/>
          <w:color w:val="262626"/>
        </w:rPr>
        <w:t xml:space="preserve">   In this world US business is prepared to export its own regulatory standards, but to be bound by nothing higher.  These exports include the USA’s dysfunctional system of collective bargaining, whi</w:t>
      </w:r>
      <w:r w:rsidR="00C622D5" w:rsidRPr="00A3176F">
        <w:rPr>
          <w:rFonts w:ascii="Times New Roman" w:hAnsi="Times New Roman" w:cs="Times New Roman"/>
          <w:color w:val="262626"/>
        </w:rPr>
        <w:t xml:space="preserve">ch by this process will become </w:t>
      </w:r>
      <w:r w:rsidRPr="00A3176F">
        <w:rPr>
          <w:rFonts w:ascii="Times New Roman" w:hAnsi="Times New Roman" w:cs="Times New Roman"/>
          <w:color w:val="262626"/>
        </w:rPr>
        <w:t xml:space="preserve">the standard for the world.   In the case of developing countries this may help raise </w:t>
      </w:r>
      <w:r w:rsidR="002B5B8A" w:rsidRPr="00A3176F">
        <w:rPr>
          <w:rFonts w:ascii="Times New Roman" w:hAnsi="Times New Roman" w:cs="Times New Roman"/>
          <w:color w:val="262626"/>
        </w:rPr>
        <w:t>standards to the US level; bu</w:t>
      </w:r>
      <w:r w:rsidRPr="00A3176F">
        <w:rPr>
          <w:rFonts w:ascii="Times New Roman" w:hAnsi="Times New Roman" w:cs="Times New Roman"/>
          <w:color w:val="262626"/>
        </w:rPr>
        <w:t>t for developed countries in Europe in particular</w:t>
      </w:r>
      <w:r w:rsidR="002B5B8A" w:rsidRPr="00A3176F">
        <w:rPr>
          <w:rFonts w:ascii="Times New Roman" w:hAnsi="Times New Roman" w:cs="Times New Roman"/>
          <w:color w:val="262626"/>
        </w:rPr>
        <w:t xml:space="preserve"> it will create a new logic for</w:t>
      </w:r>
      <w:r w:rsidRPr="00A3176F">
        <w:rPr>
          <w:rFonts w:ascii="Times New Roman" w:hAnsi="Times New Roman" w:cs="Times New Roman"/>
          <w:color w:val="262626"/>
        </w:rPr>
        <w:t xml:space="preserve"> a process of deregulation and decentralization</w:t>
      </w:r>
      <w:r w:rsidR="002B5B8A" w:rsidRPr="00A3176F">
        <w:rPr>
          <w:rFonts w:ascii="Times New Roman" w:hAnsi="Times New Roman" w:cs="Times New Roman"/>
          <w:color w:val="262626"/>
        </w:rPr>
        <w:t xml:space="preserve"> already</w:t>
      </w:r>
      <w:r w:rsidRPr="00A3176F">
        <w:rPr>
          <w:rFonts w:ascii="Times New Roman" w:hAnsi="Times New Roman" w:cs="Times New Roman"/>
          <w:color w:val="262626"/>
        </w:rPr>
        <w:t xml:space="preserve"> under way.   </w:t>
      </w:r>
    </w:p>
    <w:p w14:paraId="7DF781C9" w14:textId="77777777" w:rsidR="00960DCF" w:rsidRPr="00A3176F" w:rsidRDefault="00960DCF">
      <w:pPr>
        <w:rPr>
          <w:rFonts w:ascii="Times New Roman" w:hAnsi="Times New Roman" w:cs="Times New Roman"/>
        </w:rPr>
      </w:pPr>
    </w:p>
    <w:p w14:paraId="338FEB10" w14:textId="69CF5235" w:rsidR="009948F2" w:rsidRPr="00A3176F" w:rsidRDefault="006549B6">
      <w:pPr>
        <w:rPr>
          <w:rFonts w:ascii="Times New Roman" w:hAnsi="Times New Roman" w:cs="Times New Roman"/>
        </w:rPr>
      </w:pPr>
      <w:r w:rsidRPr="00A3176F">
        <w:rPr>
          <w:rFonts w:ascii="Times New Roman" w:hAnsi="Times New Roman" w:cs="Times New Roman"/>
        </w:rPr>
        <w:t xml:space="preserve">With the domestic political debate consumed </w:t>
      </w:r>
      <w:r w:rsidR="001B3861" w:rsidRPr="00A3176F">
        <w:rPr>
          <w:rFonts w:ascii="Times New Roman" w:hAnsi="Times New Roman" w:cs="Times New Roman"/>
        </w:rPr>
        <w:t>with</w:t>
      </w:r>
      <w:r w:rsidRPr="00A3176F">
        <w:rPr>
          <w:rFonts w:ascii="Times New Roman" w:hAnsi="Times New Roman" w:cs="Times New Roman"/>
        </w:rPr>
        <w:t xml:space="preserve"> </w:t>
      </w:r>
      <w:r w:rsidR="001B3861" w:rsidRPr="00A3176F">
        <w:rPr>
          <w:rFonts w:ascii="Times New Roman" w:hAnsi="Times New Roman" w:cs="Times New Roman"/>
        </w:rPr>
        <w:t xml:space="preserve">(i) </w:t>
      </w:r>
      <w:r w:rsidRPr="00A3176F">
        <w:rPr>
          <w:rFonts w:ascii="Times New Roman" w:hAnsi="Times New Roman" w:cs="Times New Roman"/>
        </w:rPr>
        <w:t>the exist</w:t>
      </w:r>
      <w:r w:rsidR="004F761F" w:rsidRPr="00A3176F">
        <w:rPr>
          <w:rFonts w:ascii="Times New Roman" w:hAnsi="Times New Roman" w:cs="Times New Roman"/>
        </w:rPr>
        <w:t>ence of the United Kingdom</w:t>
      </w:r>
      <w:r w:rsidR="001B3861" w:rsidRPr="00A3176F">
        <w:rPr>
          <w:rFonts w:ascii="Times New Roman" w:hAnsi="Times New Roman" w:cs="Times New Roman"/>
        </w:rPr>
        <w:t>,</w:t>
      </w:r>
      <w:r w:rsidR="004F761F" w:rsidRPr="00A3176F">
        <w:rPr>
          <w:rFonts w:ascii="Times New Roman" w:hAnsi="Times New Roman" w:cs="Times New Roman"/>
        </w:rPr>
        <w:t xml:space="preserve"> and</w:t>
      </w:r>
      <w:r w:rsidR="001B3861" w:rsidRPr="00A3176F">
        <w:rPr>
          <w:rFonts w:ascii="Times New Roman" w:hAnsi="Times New Roman" w:cs="Times New Roman"/>
        </w:rPr>
        <w:t xml:space="preserve"> (ii)</w:t>
      </w:r>
      <w:r w:rsidR="004F761F" w:rsidRPr="00A3176F">
        <w:rPr>
          <w:rFonts w:ascii="Times New Roman" w:hAnsi="Times New Roman" w:cs="Times New Roman"/>
        </w:rPr>
        <w:t xml:space="preserve"> t</w:t>
      </w:r>
      <w:r w:rsidRPr="00A3176F">
        <w:rPr>
          <w:rFonts w:ascii="Times New Roman" w:hAnsi="Times New Roman" w:cs="Times New Roman"/>
        </w:rPr>
        <w:t>he United Kingdom’s membership of the EU, these are questions that transcend both.  If Britain votes to remain in the United Kingdom, it is at least possible if not likely that we will be a party to TTIP.  But even if TTIP contains the stronger version of a labour chapter in line with other EU free trade agreements (for example Korea in 2010), the commitments will be hollow and meaningless, and perversely encourage rather than prevent the current programme of deregulation and decentralization currently underway</w:t>
      </w:r>
      <w:r w:rsidR="00C622D5" w:rsidRPr="00A3176F">
        <w:rPr>
          <w:rFonts w:ascii="Times New Roman" w:hAnsi="Times New Roman" w:cs="Times New Roman"/>
        </w:rPr>
        <w:t xml:space="preserve"> at EU level</w:t>
      </w:r>
      <w:r w:rsidRPr="00A3176F">
        <w:rPr>
          <w:rFonts w:ascii="Times New Roman" w:hAnsi="Times New Roman" w:cs="Times New Roman"/>
        </w:rPr>
        <w:t>.</w:t>
      </w:r>
    </w:p>
    <w:p w14:paraId="42747644" w14:textId="77777777" w:rsidR="009948F2" w:rsidRPr="00A3176F" w:rsidRDefault="009948F2">
      <w:pPr>
        <w:rPr>
          <w:rFonts w:ascii="Times New Roman" w:hAnsi="Times New Roman" w:cs="Times New Roman"/>
        </w:rPr>
      </w:pPr>
    </w:p>
    <w:p w14:paraId="18F4D392" w14:textId="0EA09AEF" w:rsidR="006549B6" w:rsidRPr="00A3176F" w:rsidRDefault="009948F2">
      <w:pPr>
        <w:rPr>
          <w:rFonts w:ascii="Times New Roman" w:hAnsi="Times New Roman" w:cs="Times New Roman"/>
        </w:rPr>
      </w:pPr>
      <w:r w:rsidRPr="00A3176F">
        <w:rPr>
          <w:rFonts w:ascii="Times New Roman" w:hAnsi="Times New Roman" w:cs="Times New Roman"/>
        </w:rPr>
        <w:t xml:space="preserve">If, however, the United Kingdom votes to leave the EU, there is already talk </w:t>
      </w:r>
      <w:r w:rsidR="004F761F" w:rsidRPr="00A3176F">
        <w:rPr>
          <w:rFonts w:ascii="Times New Roman" w:hAnsi="Times New Roman" w:cs="Times New Roman"/>
        </w:rPr>
        <w:t xml:space="preserve">from the Tory right </w:t>
      </w:r>
      <w:r w:rsidRPr="00A3176F">
        <w:rPr>
          <w:rFonts w:ascii="Times New Roman" w:hAnsi="Times New Roman" w:cs="Times New Roman"/>
        </w:rPr>
        <w:t>of a free trade agreement with the US, though it is the US that appears to be less keen, now preferring multilateral rather than bilateral free trade agreements.</w:t>
      </w:r>
      <w:r w:rsidR="00117B09" w:rsidRPr="00A3176F">
        <w:rPr>
          <w:rFonts w:ascii="Times New Roman" w:hAnsi="Times New Roman" w:cs="Times New Roman"/>
        </w:rPr>
        <w:t xml:space="preserve">   But even if there was to be a bilateral agreement it would almost certainly follow the example of ALL other US free trade agreements and include a labour chapter, including a commitment of some kind to collective bargaining.   </w:t>
      </w:r>
      <w:r w:rsidR="00EB2182" w:rsidRPr="00A3176F">
        <w:rPr>
          <w:rFonts w:ascii="Times New Roman" w:hAnsi="Times New Roman" w:cs="Times New Roman"/>
        </w:rPr>
        <w:t xml:space="preserve">The commitment would be meaningless for it would be a commitment to do more than is required by the NLRA, a version of which was already </w:t>
      </w:r>
      <w:r w:rsidR="009D3398" w:rsidRPr="00A3176F">
        <w:rPr>
          <w:rFonts w:ascii="Times New Roman" w:hAnsi="Times New Roman" w:cs="Times New Roman"/>
        </w:rPr>
        <w:t>adopted in the Blair government</w:t>
      </w:r>
      <w:r w:rsidR="00EB2182" w:rsidRPr="00A3176F">
        <w:rPr>
          <w:rFonts w:ascii="Times New Roman" w:hAnsi="Times New Roman" w:cs="Times New Roman"/>
        </w:rPr>
        <w:t>’s Employment Relations Act 1999.</w:t>
      </w:r>
      <w:r w:rsidR="003B35F3" w:rsidRPr="00A3176F">
        <w:rPr>
          <w:rStyle w:val="FootnoteReference"/>
          <w:rFonts w:ascii="Times New Roman" w:hAnsi="Times New Roman" w:cs="Times New Roman"/>
        </w:rPr>
        <w:footnoteReference w:id="24"/>
      </w:r>
      <w:r w:rsidR="006549B6" w:rsidRPr="00A3176F">
        <w:rPr>
          <w:rFonts w:ascii="Times New Roman" w:hAnsi="Times New Roman" w:cs="Times New Roman"/>
        </w:rPr>
        <w:t xml:space="preserve"> </w:t>
      </w:r>
    </w:p>
    <w:p w14:paraId="74F04DAA" w14:textId="77777777" w:rsidR="002B5B8A" w:rsidRPr="00A3176F" w:rsidRDefault="002B5B8A">
      <w:pPr>
        <w:rPr>
          <w:rFonts w:ascii="Times New Roman" w:hAnsi="Times New Roman" w:cs="Times New Roman"/>
        </w:rPr>
      </w:pPr>
    </w:p>
    <w:p w14:paraId="5847DEA1" w14:textId="5B516F6A" w:rsidR="009D3398" w:rsidRPr="00A3176F" w:rsidRDefault="002B5B8A">
      <w:pPr>
        <w:rPr>
          <w:rFonts w:ascii="Times New Roman" w:hAnsi="Times New Roman" w:cs="Times New Roman"/>
        </w:rPr>
      </w:pPr>
      <w:r w:rsidRPr="00A3176F">
        <w:rPr>
          <w:rFonts w:ascii="Times New Roman" w:hAnsi="Times New Roman" w:cs="Times New Roman"/>
        </w:rPr>
        <w:t xml:space="preserve">The NLRA is thus set to become the floor and the ceiling for collective bargaining arrangements throughout the world.   It is </w:t>
      </w:r>
      <w:r w:rsidR="004F761F" w:rsidRPr="00A3176F">
        <w:rPr>
          <w:rFonts w:ascii="Times New Roman" w:hAnsi="Times New Roman" w:cs="Times New Roman"/>
        </w:rPr>
        <w:t xml:space="preserve">now </w:t>
      </w:r>
      <w:r w:rsidRPr="00A3176F">
        <w:rPr>
          <w:rFonts w:ascii="Times New Roman" w:hAnsi="Times New Roman" w:cs="Times New Roman"/>
        </w:rPr>
        <w:t xml:space="preserve">the floor for TPP and if TTIP is concluded it will be the ceiling </w:t>
      </w:r>
      <w:r w:rsidR="004F761F" w:rsidRPr="00A3176F">
        <w:rPr>
          <w:rFonts w:ascii="Times New Roman" w:hAnsi="Times New Roman" w:cs="Times New Roman"/>
        </w:rPr>
        <w:t xml:space="preserve">for </w:t>
      </w:r>
      <w:r w:rsidR="00820B15" w:rsidRPr="00A3176F">
        <w:rPr>
          <w:rFonts w:ascii="Times New Roman" w:hAnsi="Times New Roman" w:cs="Times New Roman"/>
        </w:rPr>
        <w:t>28 EU countries</w:t>
      </w:r>
      <w:r w:rsidRPr="00A3176F">
        <w:rPr>
          <w:rFonts w:ascii="Times New Roman" w:hAnsi="Times New Roman" w:cs="Times New Roman"/>
        </w:rPr>
        <w:t xml:space="preserve"> (Scotland if </w:t>
      </w:r>
      <w:r w:rsidR="004F761F" w:rsidRPr="00A3176F">
        <w:rPr>
          <w:rFonts w:ascii="Times New Roman" w:hAnsi="Times New Roman" w:cs="Times New Roman"/>
        </w:rPr>
        <w:t xml:space="preserve">not </w:t>
      </w:r>
      <w:r w:rsidRPr="00A3176F">
        <w:rPr>
          <w:rFonts w:ascii="Times New Roman" w:hAnsi="Times New Roman" w:cs="Times New Roman"/>
        </w:rPr>
        <w:t>the UK in the event of BREXIT</w:t>
      </w:r>
      <w:r w:rsidR="00820B15" w:rsidRPr="00A3176F">
        <w:rPr>
          <w:rFonts w:ascii="Times New Roman" w:hAnsi="Times New Roman" w:cs="Times New Roman"/>
        </w:rPr>
        <w:t xml:space="preserve"> being followed by SCENTRY</w:t>
      </w:r>
      <w:r w:rsidRPr="00A3176F">
        <w:rPr>
          <w:rFonts w:ascii="Times New Roman" w:hAnsi="Times New Roman" w:cs="Times New Roman"/>
        </w:rPr>
        <w:t xml:space="preserve">).    What is happening to collective bargaining is a global problem bigger than questions of national identity or membership of a regional </w:t>
      </w:r>
      <w:r w:rsidR="00820B15" w:rsidRPr="00A3176F">
        <w:rPr>
          <w:rFonts w:ascii="Times New Roman" w:hAnsi="Times New Roman" w:cs="Times New Roman"/>
        </w:rPr>
        <w:t>union</w:t>
      </w:r>
      <w:r w:rsidRPr="00A3176F">
        <w:rPr>
          <w:rFonts w:ascii="Times New Roman" w:hAnsi="Times New Roman" w:cs="Times New Roman"/>
        </w:rPr>
        <w:t>.   It is about the global power of the US constitution and the transnational influence of American corporations; it is about the</w:t>
      </w:r>
      <w:r w:rsidR="000B2294" w:rsidRPr="00A3176F">
        <w:rPr>
          <w:rFonts w:ascii="Times New Roman" w:hAnsi="Times New Roman" w:cs="Times New Roman"/>
        </w:rPr>
        <w:t xml:space="preserve"> successful</w:t>
      </w:r>
      <w:r w:rsidRPr="00A3176F">
        <w:rPr>
          <w:rFonts w:ascii="Times New Roman" w:hAnsi="Times New Roman" w:cs="Times New Roman"/>
        </w:rPr>
        <w:t xml:space="preserve"> conflation of constitutional</w:t>
      </w:r>
      <w:r w:rsidR="004F761F" w:rsidRPr="00A3176F">
        <w:rPr>
          <w:rFonts w:ascii="Times New Roman" w:hAnsi="Times New Roman" w:cs="Times New Roman"/>
        </w:rPr>
        <w:t xml:space="preserve"> doctrine, </w:t>
      </w:r>
      <w:r w:rsidRPr="00A3176F">
        <w:rPr>
          <w:rFonts w:ascii="Times New Roman" w:hAnsi="Times New Roman" w:cs="Times New Roman"/>
        </w:rPr>
        <w:t>economic theory</w:t>
      </w:r>
      <w:r w:rsidR="004F761F" w:rsidRPr="00A3176F">
        <w:rPr>
          <w:rFonts w:ascii="Times New Roman" w:hAnsi="Times New Roman" w:cs="Times New Roman"/>
        </w:rPr>
        <w:t xml:space="preserve"> and commercial practice</w:t>
      </w:r>
      <w:r w:rsidRPr="00A3176F">
        <w:rPr>
          <w:rFonts w:ascii="Times New Roman" w:hAnsi="Times New Roman" w:cs="Times New Roman"/>
        </w:rPr>
        <w:t xml:space="preserve">. </w:t>
      </w:r>
    </w:p>
    <w:p w14:paraId="7A80D3F0" w14:textId="77777777" w:rsidR="009D3398" w:rsidRPr="00A3176F" w:rsidRDefault="009D3398">
      <w:pPr>
        <w:rPr>
          <w:rFonts w:ascii="Times New Roman" w:hAnsi="Times New Roman" w:cs="Times New Roman"/>
        </w:rPr>
      </w:pPr>
    </w:p>
    <w:p w14:paraId="52B4602C" w14:textId="32E9DC3E" w:rsidR="00B022BC" w:rsidRPr="00A3176F" w:rsidRDefault="004F761F">
      <w:pPr>
        <w:rPr>
          <w:rFonts w:ascii="Times New Roman" w:hAnsi="Times New Roman" w:cs="Times New Roman"/>
        </w:rPr>
      </w:pPr>
      <w:r w:rsidRPr="00A3176F">
        <w:rPr>
          <w:rFonts w:ascii="Times New Roman" w:hAnsi="Times New Roman" w:cs="Times New Roman"/>
        </w:rPr>
        <w:t>In this new world</w:t>
      </w:r>
      <w:r w:rsidR="00B27A8D" w:rsidRPr="00A3176F">
        <w:rPr>
          <w:rFonts w:ascii="Times New Roman" w:hAnsi="Times New Roman" w:cs="Times New Roman"/>
        </w:rPr>
        <w:t xml:space="preserve">, </w:t>
      </w:r>
      <w:r w:rsidRPr="00A3176F">
        <w:rPr>
          <w:rFonts w:ascii="Times New Roman" w:hAnsi="Times New Roman" w:cs="Times New Roman"/>
        </w:rPr>
        <w:t>Social Europe is dying</w:t>
      </w:r>
      <w:r w:rsidR="00541AD7" w:rsidRPr="00A3176F">
        <w:rPr>
          <w:rFonts w:ascii="Times New Roman" w:hAnsi="Times New Roman" w:cs="Times New Roman"/>
        </w:rPr>
        <w:t xml:space="preserve">, with the social democratic values to be found in the Treaty of European Union </w:t>
      </w:r>
      <w:r w:rsidR="005E7EE5" w:rsidRPr="00A3176F">
        <w:rPr>
          <w:rFonts w:ascii="Times New Roman" w:hAnsi="Times New Roman" w:cs="Times New Roman"/>
        </w:rPr>
        <w:t>beginning to remind us of Kahn Freund’s famous denunciation of the Weimar Constitution – meaningless platitudes binding on no one, unintended to bind anyone</w:t>
      </w:r>
      <w:r w:rsidR="003B35F3" w:rsidRPr="00A3176F">
        <w:rPr>
          <w:rStyle w:val="FootnoteReference"/>
          <w:rFonts w:ascii="Times New Roman" w:hAnsi="Times New Roman" w:cs="Times New Roman"/>
        </w:rPr>
        <w:footnoteReference w:id="25"/>
      </w:r>
      <w:r w:rsidR="005E7EE5" w:rsidRPr="00A3176F">
        <w:rPr>
          <w:rFonts w:ascii="Times New Roman" w:hAnsi="Times New Roman" w:cs="Times New Roman"/>
        </w:rPr>
        <w:t>.</w:t>
      </w:r>
      <w:r w:rsidR="0050666B" w:rsidRPr="00A3176F">
        <w:rPr>
          <w:rFonts w:ascii="Times New Roman" w:hAnsi="Times New Roman" w:cs="Times New Roman"/>
        </w:rPr>
        <w:t xml:space="preserve">   Whatever happens in the EU referendum, the collective bargaining problem will</w:t>
      </w:r>
      <w:r w:rsidR="004D020B" w:rsidRPr="00A3176F">
        <w:rPr>
          <w:rFonts w:ascii="Times New Roman" w:hAnsi="Times New Roman" w:cs="Times New Roman"/>
        </w:rPr>
        <w:t xml:space="preserve"> be l</w:t>
      </w:r>
      <w:r w:rsidR="001B3861" w:rsidRPr="00A3176F">
        <w:rPr>
          <w:rFonts w:ascii="Times New Roman" w:hAnsi="Times New Roman" w:cs="Times New Roman"/>
        </w:rPr>
        <w:t>argely unaffected.   The</w:t>
      </w:r>
      <w:r w:rsidR="004D020B" w:rsidRPr="00A3176F">
        <w:rPr>
          <w:rFonts w:ascii="Times New Roman" w:hAnsi="Times New Roman" w:cs="Times New Roman"/>
        </w:rPr>
        <w:t xml:space="preserve"> collective bargaining problem</w:t>
      </w:r>
      <w:r w:rsidR="0050666B" w:rsidRPr="00A3176F">
        <w:rPr>
          <w:rFonts w:ascii="Times New Roman" w:hAnsi="Times New Roman" w:cs="Times New Roman"/>
        </w:rPr>
        <w:t xml:space="preserve"> is a problem of US capital, protected and empowered by the US constitution in the </w:t>
      </w:r>
      <w:r w:rsidR="0050666B" w:rsidRPr="00A3176F">
        <w:rPr>
          <w:rFonts w:ascii="Times New Roman" w:hAnsi="Times New Roman" w:cs="Times New Roman"/>
          <w:i/>
        </w:rPr>
        <w:t>Schechte</w:t>
      </w:r>
      <w:r w:rsidR="0050666B" w:rsidRPr="00A3176F">
        <w:rPr>
          <w:rFonts w:ascii="Times New Roman" w:hAnsi="Times New Roman" w:cs="Times New Roman"/>
        </w:rPr>
        <w:t xml:space="preserve">r case on </w:t>
      </w:r>
      <w:r w:rsidRPr="00A3176F">
        <w:rPr>
          <w:rFonts w:ascii="Times New Roman" w:hAnsi="Times New Roman" w:cs="Times New Roman"/>
        </w:rPr>
        <w:t>27 May 1935.</w:t>
      </w:r>
      <w:r w:rsidR="0050666B" w:rsidRPr="00A3176F">
        <w:rPr>
          <w:rFonts w:ascii="Times New Roman" w:hAnsi="Times New Roman" w:cs="Times New Roman"/>
        </w:rPr>
        <w:t xml:space="preserve">   We are all sick chickens now.</w:t>
      </w:r>
    </w:p>
    <w:sectPr w:rsidR="00B022BC" w:rsidRPr="00A3176F" w:rsidSect="008717F5">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5732D" w14:textId="77777777" w:rsidR="00854507" w:rsidRDefault="00854507" w:rsidP="00B5385F">
      <w:r>
        <w:separator/>
      </w:r>
    </w:p>
  </w:endnote>
  <w:endnote w:type="continuationSeparator" w:id="0">
    <w:p w14:paraId="2C256137" w14:textId="77777777" w:rsidR="00854507" w:rsidRDefault="00854507" w:rsidP="00B5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521E0" w14:textId="77777777" w:rsidR="00854507" w:rsidRDefault="00854507" w:rsidP="00B538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B176BE" w14:textId="77777777" w:rsidR="00854507" w:rsidRDefault="00854507" w:rsidP="00B5385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C2F5E" w14:textId="77777777" w:rsidR="00854507" w:rsidRDefault="00854507" w:rsidP="00B538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4E27">
      <w:rPr>
        <w:rStyle w:val="PageNumber"/>
        <w:noProof/>
      </w:rPr>
      <w:t>1</w:t>
    </w:r>
    <w:r>
      <w:rPr>
        <w:rStyle w:val="PageNumber"/>
      </w:rPr>
      <w:fldChar w:fldCharType="end"/>
    </w:r>
  </w:p>
  <w:p w14:paraId="77FB5942" w14:textId="77777777" w:rsidR="00854507" w:rsidRDefault="00854507" w:rsidP="00B5385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8AB84" w14:textId="77777777" w:rsidR="00854507" w:rsidRDefault="00854507" w:rsidP="00B5385F">
      <w:r>
        <w:separator/>
      </w:r>
    </w:p>
  </w:footnote>
  <w:footnote w:type="continuationSeparator" w:id="0">
    <w:p w14:paraId="28C24CF3" w14:textId="77777777" w:rsidR="00854507" w:rsidRDefault="00854507" w:rsidP="00B5385F">
      <w:r>
        <w:continuationSeparator/>
      </w:r>
    </w:p>
  </w:footnote>
  <w:footnote w:id="1">
    <w:p w14:paraId="0BE5490A" w14:textId="56B16A50" w:rsidR="00854507" w:rsidRPr="00A3176F" w:rsidRDefault="00854507">
      <w:pPr>
        <w:pStyle w:val="FootnoteText"/>
        <w:rPr>
          <w:rFonts w:ascii="Times New Roman" w:hAnsi="Times New Roman" w:cs="Times New Roman"/>
          <w:sz w:val="20"/>
          <w:szCs w:val="20"/>
        </w:rPr>
      </w:pPr>
      <w:r w:rsidRPr="00A3176F">
        <w:rPr>
          <w:rStyle w:val="FootnoteReference"/>
          <w:rFonts w:ascii="Times New Roman" w:hAnsi="Times New Roman" w:cs="Times New Roman"/>
          <w:sz w:val="20"/>
          <w:szCs w:val="20"/>
        </w:rPr>
        <w:footnoteRef/>
      </w:r>
      <w:r w:rsidRPr="00A3176F">
        <w:rPr>
          <w:rFonts w:ascii="Times New Roman" w:hAnsi="Times New Roman" w:cs="Times New Roman"/>
          <w:sz w:val="20"/>
          <w:szCs w:val="20"/>
        </w:rPr>
        <w:t xml:space="preserve"> </w:t>
      </w:r>
      <w:r w:rsidRPr="00A3176F">
        <w:rPr>
          <w:rFonts w:ascii="Times New Roman" w:hAnsi="Times New Roman" w:cs="Times New Roman"/>
          <w:i/>
          <w:sz w:val="20"/>
          <w:szCs w:val="20"/>
        </w:rPr>
        <w:t>Schechter Poultry Corp v US</w:t>
      </w:r>
      <w:r w:rsidRPr="00A3176F">
        <w:rPr>
          <w:rFonts w:ascii="Times New Roman" w:hAnsi="Times New Roman" w:cs="Times New Roman"/>
          <w:sz w:val="20"/>
          <w:szCs w:val="20"/>
        </w:rPr>
        <w:t>, 295 US 495 (1935).</w:t>
      </w:r>
    </w:p>
  </w:footnote>
  <w:footnote w:id="2">
    <w:p w14:paraId="75099DD2" w14:textId="24F70F7D" w:rsidR="00854507" w:rsidRPr="00A3176F" w:rsidRDefault="00854507">
      <w:pPr>
        <w:pStyle w:val="FootnoteText"/>
        <w:rPr>
          <w:rFonts w:ascii="Times New Roman" w:hAnsi="Times New Roman" w:cs="Times New Roman"/>
          <w:sz w:val="20"/>
          <w:szCs w:val="20"/>
        </w:rPr>
      </w:pPr>
      <w:r w:rsidRPr="00A3176F">
        <w:rPr>
          <w:rStyle w:val="FootnoteReference"/>
          <w:rFonts w:ascii="Times New Roman" w:hAnsi="Times New Roman" w:cs="Times New Roman"/>
          <w:sz w:val="20"/>
          <w:szCs w:val="20"/>
        </w:rPr>
        <w:footnoteRef/>
      </w:r>
      <w:r w:rsidRPr="00A3176F">
        <w:rPr>
          <w:rFonts w:ascii="Times New Roman" w:hAnsi="Times New Roman" w:cs="Times New Roman"/>
          <w:sz w:val="20"/>
          <w:szCs w:val="20"/>
        </w:rPr>
        <w:t xml:space="preserve"> For a good account, see A J Badger, </w:t>
      </w:r>
      <w:r w:rsidRPr="00A3176F">
        <w:rPr>
          <w:rFonts w:ascii="Times New Roman" w:hAnsi="Times New Roman" w:cs="Times New Roman"/>
          <w:i/>
          <w:sz w:val="20"/>
          <w:szCs w:val="20"/>
        </w:rPr>
        <w:t>FDR-The First Hundred Days</w:t>
      </w:r>
      <w:r w:rsidRPr="00A3176F">
        <w:rPr>
          <w:rFonts w:ascii="Times New Roman" w:hAnsi="Times New Roman" w:cs="Times New Roman"/>
          <w:sz w:val="20"/>
          <w:szCs w:val="20"/>
        </w:rPr>
        <w:t xml:space="preserve"> (New York, 2008).</w:t>
      </w:r>
    </w:p>
  </w:footnote>
  <w:footnote w:id="3">
    <w:p w14:paraId="77C219C5" w14:textId="3519E5A2" w:rsidR="00854507" w:rsidRPr="00A3176F" w:rsidRDefault="00854507">
      <w:pPr>
        <w:pStyle w:val="FootnoteText"/>
        <w:rPr>
          <w:rFonts w:ascii="Times New Roman" w:hAnsi="Times New Roman" w:cs="Times New Roman"/>
          <w:sz w:val="20"/>
          <w:szCs w:val="20"/>
        </w:rPr>
      </w:pPr>
      <w:r w:rsidRPr="00A3176F">
        <w:rPr>
          <w:rStyle w:val="FootnoteReference"/>
          <w:rFonts w:ascii="Times New Roman" w:hAnsi="Times New Roman" w:cs="Times New Roman"/>
          <w:sz w:val="20"/>
          <w:szCs w:val="20"/>
        </w:rPr>
        <w:footnoteRef/>
      </w:r>
      <w:r w:rsidRPr="00A3176F">
        <w:rPr>
          <w:rFonts w:ascii="Times New Roman" w:hAnsi="Times New Roman" w:cs="Times New Roman"/>
          <w:sz w:val="20"/>
          <w:szCs w:val="20"/>
        </w:rPr>
        <w:t xml:space="preserve"> National Industrial Recovery Act, 1933, s 1.</w:t>
      </w:r>
    </w:p>
  </w:footnote>
  <w:footnote w:id="4">
    <w:p w14:paraId="5520E942" w14:textId="38B3889B" w:rsidR="00854507" w:rsidRPr="00A3176F" w:rsidRDefault="00854507">
      <w:pPr>
        <w:pStyle w:val="FootnoteText"/>
        <w:rPr>
          <w:rFonts w:ascii="Times New Roman" w:hAnsi="Times New Roman" w:cs="Times New Roman"/>
          <w:sz w:val="20"/>
          <w:szCs w:val="20"/>
        </w:rPr>
      </w:pPr>
      <w:r w:rsidRPr="00A3176F">
        <w:rPr>
          <w:rStyle w:val="FootnoteReference"/>
          <w:rFonts w:ascii="Times New Roman" w:hAnsi="Times New Roman" w:cs="Times New Roman"/>
          <w:sz w:val="20"/>
          <w:szCs w:val="20"/>
        </w:rPr>
        <w:footnoteRef/>
      </w:r>
      <w:r w:rsidRPr="00A3176F">
        <w:rPr>
          <w:rFonts w:ascii="Times New Roman" w:hAnsi="Times New Roman" w:cs="Times New Roman"/>
          <w:sz w:val="20"/>
          <w:szCs w:val="20"/>
        </w:rPr>
        <w:t xml:space="preserve"> See </w:t>
      </w:r>
      <w:r w:rsidRPr="00A3176F">
        <w:rPr>
          <w:rFonts w:ascii="Times New Roman" w:hAnsi="Times New Roman" w:cs="Times New Roman"/>
          <w:i/>
          <w:sz w:val="20"/>
          <w:szCs w:val="20"/>
        </w:rPr>
        <w:t>Express Newspapers v McShane</w:t>
      </w:r>
      <w:r w:rsidRPr="00A3176F">
        <w:rPr>
          <w:rFonts w:ascii="Times New Roman" w:hAnsi="Times New Roman" w:cs="Times New Roman"/>
          <w:sz w:val="20"/>
          <w:szCs w:val="20"/>
        </w:rPr>
        <w:t xml:space="preserve"> [1979] ICR 210 – Lord Denning criticizing trade union immunities.  See R Dukes, ‘The Right to Strike under UK Law:  Not Much More than a Slogan?’  (2010) 39 ILJ 32.</w:t>
      </w:r>
    </w:p>
  </w:footnote>
  <w:footnote w:id="5">
    <w:p w14:paraId="3ADB4371" w14:textId="715CE8D2" w:rsidR="00854507" w:rsidRPr="00A3176F" w:rsidRDefault="00854507">
      <w:pPr>
        <w:pStyle w:val="FootnoteText"/>
        <w:rPr>
          <w:rFonts w:ascii="Times New Roman" w:hAnsi="Times New Roman" w:cs="Times New Roman"/>
          <w:sz w:val="20"/>
          <w:szCs w:val="20"/>
        </w:rPr>
      </w:pPr>
      <w:r w:rsidRPr="00A3176F">
        <w:rPr>
          <w:rStyle w:val="FootnoteReference"/>
          <w:rFonts w:ascii="Times New Roman" w:hAnsi="Times New Roman" w:cs="Times New Roman"/>
          <w:sz w:val="20"/>
          <w:szCs w:val="20"/>
        </w:rPr>
        <w:footnoteRef/>
      </w:r>
      <w:r w:rsidRPr="00A3176F">
        <w:rPr>
          <w:rFonts w:ascii="Times New Roman" w:hAnsi="Times New Roman" w:cs="Times New Roman"/>
          <w:sz w:val="20"/>
          <w:szCs w:val="20"/>
        </w:rPr>
        <w:t xml:space="preserve"> </w:t>
      </w:r>
      <w:r w:rsidRPr="00A3176F">
        <w:rPr>
          <w:rFonts w:ascii="Times New Roman" w:hAnsi="Times New Roman" w:cs="Times New Roman"/>
          <w:i/>
          <w:sz w:val="20"/>
          <w:szCs w:val="20"/>
        </w:rPr>
        <w:t>Schechter Poultry Corp,</w:t>
      </w:r>
      <w:r w:rsidRPr="00A3176F">
        <w:rPr>
          <w:rFonts w:ascii="Times New Roman" w:hAnsi="Times New Roman" w:cs="Times New Roman"/>
          <w:sz w:val="20"/>
          <w:szCs w:val="20"/>
        </w:rPr>
        <w:t xml:space="preserve"> above, p 528.</w:t>
      </w:r>
    </w:p>
  </w:footnote>
  <w:footnote w:id="6">
    <w:p w14:paraId="49B9AA9A" w14:textId="014677EA" w:rsidR="00854507" w:rsidRPr="00A3176F" w:rsidRDefault="00854507">
      <w:pPr>
        <w:pStyle w:val="FootnoteText"/>
        <w:rPr>
          <w:rFonts w:ascii="Times New Roman" w:hAnsi="Times New Roman" w:cs="Times New Roman"/>
          <w:sz w:val="20"/>
          <w:szCs w:val="20"/>
        </w:rPr>
      </w:pPr>
      <w:r w:rsidRPr="00A3176F">
        <w:rPr>
          <w:rStyle w:val="FootnoteReference"/>
          <w:rFonts w:ascii="Times New Roman" w:hAnsi="Times New Roman" w:cs="Times New Roman"/>
          <w:sz w:val="20"/>
          <w:szCs w:val="20"/>
        </w:rPr>
        <w:footnoteRef/>
      </w:r>
      <w:r w:rsidRPr="00A3176F">
        <w:rPr>
          <w:rFonts w:ascii="Times New Roman" w:hAnsi="Times New Roman" w:cs="Times New Roman"/>
          <w:sz w:val="20"/>
          <w:szCs w:val="20"/>
        </w:rPr>
        <w:t xml:space="preserve"> See esp NLRA, 1935, s 7</w:t>
      </w:r>
    </w:p>
  </w:footnote>
  <w:footnote w:id="7">
    <w:p w14:paraId="597F42DD" w14:textId="52C5D536" w:rsidR="00854507" w:rsidRPr="00A3176F" w:rsidRDefault="00854507">
      <w:pPr>
        <w:pStyle w:val="FootnoteText"/>
        <w:rPr>
          <w:rFonts w:ascii="Times New Roman" w:hAnsi="Times New Roman" w:cs="Times New Roman"/>
          <w:sz w:val="20"/>
          <w:szCs w:val="20"/>
        </w:rPr>
      </w:pPr>
      <w:r w:rsidRPr="00A3176F">
        <w:rPr>
          <w:rStyle w:val="FootnoteReference"/>
          <w:rFonts w:ascii="Times New Roman" w:hAnsi="Times New Roman" w:cs="Times New Roman"/>
          <w:sz w:val="20"/>
          <w:szCs w:val="20"/>
        </w:rPr>
        <w:footnoteRef/>
      </w:r>
      <w:r w:rsidRPr="00A3176F">
        <w:rPr>
          <w:rFonts w:ascii="Times New Roman" w:hAnsi="Times New Roman" w:cs="Times New Roman"/>
          <w:sz w:val="20"/>
          <w:szCs w:val="20"/>
        </w:rPr>
        <w:t xml:space="preserve"> Ibid, s 9.</w:t>
      </w:r>
    </w:p>
  </w:footnote>
  <w:footnote w:id="8">
    <w:p w14:paraId="14316605" w14:textId="44E8502B" w:rsidR="00854507" w:rsidRPr="00A3176F" w:rsidRDefault="00854507">
      <w:pPr>
        <w:pStyle w:val="FootnoteText"/>
        <w:rPr>
          <w:rFonts w:ascii="Times New Roman" w:hAnsi="Times New Roman" w:cs="Times New Roman"/>
          <w:sz w:val="20"/>
          <w:szCs w:val="20"/>
        </w:rPr>
      </w:pPr>
      <w:r w:rsidRPr="00A3176F">
        <w:rPr>
          <w:rStyle w:val="FootnoteReference"/>
          <w:rFonts w:ascii="Times New Roman" w:hAnsi="Times New Roman" w:cs="Times New Roman"/>
          <w:sz w:val="20"/>
          <w:szCs w:val="20"/>
        </w:rPr>
        <w:footnoteRef/>
      </w:r>
      <w:r w:rsidRPr="00A3176F">
        <w:rPr>
          <w:rFonts w:ascii="Times New Roman" w:hAnsi="Times New Roman" w:cs="Times New Roman"/>
          <w:sz w:val="20"/>
          <w:szCs w:val="20"/>
        </w:rPr>
        <w:t xml:space="preserve"> See K D Ewing, ‘The State and Industrial Relations – Collective Laissez Faire Revisited’ (1998) 5 </w:t>
      </w:r>
      <w:r w:rsidRPr="00A3176F">
        <w:rPr>
          <w:rFonts w:ascii="Times New Roman" w:hAnsi="Times New Roman" w:cs="Times New Roman"/>
          <w:i/>
          <w:sz w:val="20"/>
          <w:szCs w:val="20"/>
        </w:rPr>
        <w:t>Historical Studies in Industrial Relations</w:t>
      </w:r>
      <w:r w:rsidRPr="00A3176F">
        <w:rPr>
          <w:rFonts w:ascii="Times New Roman" w:hAnsi="Times New Roman" w:cs="Times New Roman"/>
          <w:sz w:val="20"/>
          <w:szCs w:val="20"/>
        </w:rPr>
        <w:t xml:space="preserve"> 1.</w:t>
      </w:r>
    </w:p>
  </w:footnote>
  <w:footnote w:id="9">
    <w:p w14:paraId="7F30A715" w14:textId="1F586DBF" w:rsidR="00854507" w:rsidRPr="00A3176F" w:rsidRDefault="00854507">
      <w:pPr>
        <w:pStyle w:val="FootnoteText"/>
        <w:rPr>
          <w:rFonts w:ascii="Times New Roman" w:hAnsi="Times New Roman" w:cs="Times New Roman"/>
          <w:sz w:val="20"/>
          <w:szCs w:val="20"/>
        </w:rPr>
      </w:pPr>
      <w:r w:rsidRPr="00A3176F">
        <w:rPr>
          <w:rStyle w:val="FootnoteReference"/>
          <w:rFonts w:ascii="Times New Roman" w:hAnsi="Times New Roman" w:cs="Times New Roman"/>
          <w:sz w:val="20"/>
          <w:szCs w:val="20"/>
        </w:rPr>
        <w:footnoteRef/>
      </w:r>
      <w:r w:rsidRPr="00A3176F">
        <w:rPr>
          <w:rFonts w:ascii="Times New Roman" w:hAnsi="Times New Roman" w:cs="Times New Roman"/>
          <w:sz w:val="20"/>
          <w:szCs w:val="20"/>
        </w:rPr>
        <w:t xml:space="preserve"> Ibid.</w:t>
      </w:r>
    </w:p>
  </w:footnote>
  <w:footnote w:id="10">
    <w:p w14:paraId="1DA2DB74" w14:textId="77777777" w:rsidR="00854507" w:rsidRPr="00A3176F" w:rsidRDefault="00854507" w:rsidP="000D6416">
      <w:pPr>
        <w:pStyle w:val="FootnoteText"/>
        <w:rPr>
          <w:rFonts w:ascii="Times New Roman" w:hAnsi="Times New Roman" w:cs="Times New Roman"/>
          <w:sz w:val="20"/>
          <w:szCs w:val="20"/>
        </w:rPr>
      </w:pPr>
      <w:r w:rsidRPr="00A3176F">
        <w:rPr>
          <w:rStyle w:val="FootnoteReference"/>
          <w:rFonts w:ascii="Times New Roman" w:hAnsi="Times New Roman" w:cs="Times New Roman"/>
          <w:sz w:val="20"/>
          <w:szCs w:val="20"/>
        </w:rPr>
        <w:footnoteRef/>
      </w:r>
      <w:r w:rsidRPr="00A3176F">
        <w:rPr>
          <w:rFonts w:ascii="Times New Roman" w:hAnsi="Times New Roman" w:cs="Times New Roman"/>
          <w:sz w:val="20"/>
          <w:szCs w:val="20"/>
        </w:rPr>
        <w:t xml:space="preserve"> In Germany, for example, works councils operated at enterprise level rather than shop stewards.</w:t>
      </w:r>
    </w:p>
  </w:footnote>
  <w:footnote w:id="11">
    <w:p w14:paraId="3C2734BB" w14:textId="55785779" w:rsidR="00854507" w:rsidRPr="00A3176F" w:rsidRDefault="00854507">
      <w:pPr>
        <w:pStyle w:val="FootnoteText"/>
        <w:rPr>
          <w:rFonts w:ascii="Times New Roman" w:hAnsi="Times New Roman" w:cs="Times New Roman"/>
          <w:sz w:val="20"/>
          <w:szCs w:val="20"/>
        </w:rPr>
      </w:pPr>
      <w:r w:rsidRPr="00A3176F">
        <w:rPr>
          <w:rStyle w:val="FootnoteReference"/>
          <w:rFonts w:ascii="Times New Roman" w:hAnsi="Times New Roman" w:cs="Times New Roman"/>
          <w:sz w:val="20"/>
          <w:szCs w:val="20"/>
        </w:rPr>
        <w:footnoteRef/>
      </w:r>
      <w:r w:rsidRPr="00A3176F">
        <w:rPr>
          <w:rFonts w:ascii="Times New Roman" w:hAnsi="Times New Roman" w:cs="Times New Roman"/>
          <w:sz w:val="20"/>
          <w:szCs w:val="20"/>
        </w:rPr>
        <w:t xml:space="preserve"> See W B Gould, </w:t>
      </w:r>
      <w:r w:rsidRPr="00A3176F">
        <w:rPr>
          <w:rFonts w:ascii="Times New Roman" w:hAnsi="Times New Roman" w:cs="Times New Roman"/>
          <w:i/>
          <w:sz w:val="20"/>
          <w:szCs w:val="20"/>
        </w:rPr>
        <w:t>Japan’s Reshaping of American Labor Law</w:t>
      </w:r>
      <w:r w:rsidRPr="00A3176F">
        <w:rPr>
          <w:rFonts w:ascii="Times New Roman" w:hAnsi="Times New Roman" w:cs="Times New Roman"/>
          <w:sz w:val="20"/>
          <w:szCs w:val="20"/>
        </w:rPr>
        <w:t xml:space="preserve"> (1984).</w:t>
      </w:r>
    </w:p>
  </w:footnote>
  <w:footnote w:id="12">
    <w:p w14:paraId="08E23145" w14:textId="54127CBC" w:rsidR="00854507" w:rsidRPr="00A3176F" w:rsidRDefault="00854507">
      <w:pPr>
        <w:pStyle w:val="FootnoteText"/>
        <w:rPr>
          <w:rFonts w:ascii="Times New Roman" w:hAnsi="Times New Roman" w:cs="Times New Roman"/>
          <w:sz w:val="20"/>
          <w:szCs w:val="20"/>
        </w:rPr>
      </w:pPr>
      <w:r w:rsidRPr="00A3176F">
        <w:rPr>
          <w:rStyle w:val="FootnoteReference"/>
          <w:rFonts w:ascii="Times New Roman" w:hAnsi="Times New Roman" w:cs="Times New Roman"/>
          <w:sz w:val="20"/>
          <w:szCs w:val="20"/>
        </w:rPr>
        <w:footnoteRef/>
      </w:r>
      <w:r w:rsidRPr="00A3176F">
        <w:rPr>
          <w:rFonts w:ascii="Times New Roman" w:hAnsi="Times New Roman" w:cs="Times New Roman"/>
          <w:sz w:val="20"/>
          <w:szCs w:val="20"/>
        </w:rPr>
        <w:t xml:space="preserve"> But while words are powerful and sometimes beautiful, they are not enough.   This was a constitution that could entertain Berlusconi.</w:t>
      </w:r>
    </w:p>
  </w:footnote>
  <w:footnote w:id="13">
    <w:p w14:paraId="65F68297" w14:textId="0C1D0373" w:rsidR="00854507" w:rsidRPr="00A3176F" w:rsidRDefault="00854507">
      <w:pPr>
        <w:pStyle w:val="FootnoteText"/>
        <w:rPr>
          <w:rFonts w:ascii="Times New Roman" w:hAnsi="Times New Roman" w:cs="Times New Roman"/>
          <w:sz w:val="20"/>
          <w:szCs w:val="20"/>
        </w:rPr>
      </w:pPr>
      <w:r w:rsidRPr="00A3176F">
        <w:rPr>
          <w:rStyle w:val="FootnoteReference"/>
          <w:rFonts w:ascii="Times New Roman" w:hAnsi="Times New Roman" w:cs="Times New Roman"/>
          <w:sz w:val="20"/>
          <w:szCs w:val="20"/>
        </w:rPr>
        <w:footnoteRef/>
      </w:r>
      <w:r w:rsidRPr="00A3176F">
        <w:rPr>
          <w:rFonts w:ascii="Times New Roman" w:hAnsi="Times New Roman" w:cs="Times New Roman"/>
          <w:sz w:val="20"/>
          <w:szCs w:val="20"/>
        </w:rPr>
        <w:t xml:space="preserve"> This distinction is explored more fully in K D Ewing, ‘The Function of Trade Unions’ (2005) 34 ILJ 1.</w:t>
      </w:r>
    </w:p>
  </w:footnote>
  <w:footnote w:id="14">
    <w:p w14:paraId="548437AE" w14:textId="7261A99A" w:rsidR="00854507" w:rsidRPr="00A3176F" w:rsidRDefault="00854507">
      <w:pPr>
        <w:pStyle w:val="FootnoteText"/>
        <w:rPr>
          <w:rFonts w:ascii="Times New Roman" w:hAnsi="Times New Roman" w:cs="Times New Roman"/>
          <w:sz w:val="20"/>
          <w:szCs w:val="20"/>
        </w:rPr>
      </w:pPr>
      <w:r w:rsidRPr="00A3176F">
        <w:rPr>
          <w:rStyle w:val="FootnoteReference"/>
          <w:rFonts w:ascii="Times New Roman" w:hAnsi="Times New Roman" w:cs="Times New Roman"/>
          <w:sz w:val="20"/>
          <w:szCs w:val="20"/>
        </w:rPr>
        <w:footnoteRef/>
      </w:r>
      <w:r w:rsidRPr="00A3176F">
        <w:rPr>
          <w:rFonts w:ascii="Times New Roman" w:hAnsi="Times New Roman" w:cs="Times New Roman"/>
          <w:sz w:val="20"/>
          <w:szCs w:val="20"/>
        </w:rPr>
        <w:t xml:space="preserve"> OECD, </w:t>
      </w:r>
      <w:r w:rsidRPr="00A3176F">
        <w:rPr>
          <w:rFonts w:ascii="Times New Roman" w:hAnsi="Times New Roman" w:cs="Times New Roman"/>
          <w:i/>
          <w:sz w:val="20"/>
          <w:szCs w:val="20"/>
        </w:rPr>
        <w:t>Economic Outlook</w:t>
      </w:r>
      <w:r w:rsidRPr="00A3176F">
        <w:rPr>
          <w:rFonts w:ascii="Times New Roman" w:hAnsi="Times New Roman" w:cs="Times New Roman"/>
          <w:sz w:val="20"/>
          <w:szCs w:val="20"/>
        </w:rPr>
        <w:t xml:space="preserve"> (1994).  Regulatory design is everything.</w:t>
      </w:r>
    </w:p>
  </w:footnote>
  <w:footnote w:id="15">
    <w:p w14:paraId="2594A2F1" w14:textId="49AE4BD0" w:rsidR="00854507" w:rsidRPr="00A3176F" w:rsidRDefault="00854507">
      <w:pPr>
        <w:pStyle w:val="FootnoteText"/>
        <w:rPr>
          <w:rFonts w:ascii="Times New Roman" w:hAnsi="Times New Roman" w:cs="Times New Roman"/>
          <w:sz w:val="20"/>
          <w:szCs w:val="20"/>
        </w:rPr>
      </w:pPr>
      <w:r w:rsidRPr="00A3176F">
        <w:rPr>
          <w:rStyle w:val="FootnoteReference"/>
          <w:rFonts w:ascii="Times New Roman" w:hAnsi="Times New Roman" w:cs="Times New Roman"/>
          <w:sz w:val="20"/>
          <w:szCs w:val="20"/>
        </w:rPr>
        <w:footnoteRef/>
      </w:r>
      <w:r w:rsidRPr="00A3176F">
        <w:rPr>
          <w:rFonts w:ascii="Times New Roman" w:hAnsi="Times New Roman" w:cs="Times New Roman"/>
          <w:sz w:val="20"/>
          <w:szCs w:val="20"/>
        </w:rPr>
        <w:t xml:space="preserve"> See </w:t>
      </w:r>
      <w:r w:rsidRPr="00A3176F">
        <w:rPr>
          <w:rFonts w:ascii="Times New Roman" w:hAnsi="Times New Roman" w:cs="Times New Roman"/>
          <w:color w:val="424242"/>
          <w:sz w:val="20"/>
          <w:szCs w:val="20"/>
        </w:rPr>
        <w:t xml:space="preserve">W </w:t>
      </w:r>
      <w:r w:rsidRPr="00A3176F">
        <w:rPr>
          <w:rFonts w:ascii="Times New Roman" w:hAnsi="Times New Roman" w:cs="Times New Roman"/>
          <w:bCs/>
          <w:color w:val="575757"/>
          <w:sz w:val="20"/>
          <w:szCs w:val="20"/>
        </w:rPr>
        <w:t>Gould</w:t>
      </w:r>
      <w:r w:rsidRPr="00A3176F">
        <w:rPr>
          <w:rFonts w:ascii="Times New Roman" w:hAnsi="Times New Roman" w:cs="Times New Roman"/>
          <w:color w:val="424242"/>
          <w:sz w:val="20"/>
          <w:szCs w:val="20"/>
        </w:rPr>
        <w:t>, ‘</w:t>
      </w:r>
      <w:r w:rsidRPr="00A3176F">
        <w:rPr>
          <w:rFonts w:ascii="Times New Roman" w:hAnsi="Times New Roman" w:cs="Times New Roman"/>
          <w:bCs/>
          <w:color w:val="575757"/>
          <w:sz w:val="20"/>
          <w:szCs w:val="20"/>
        </w:rPr>
        <w:t>Taft</w:t>
      </w:r>
      <w:r w:rsidRPr="00A3176F">
        <w:rPr>
          <w:rFonts w:ascii="Times New Roman" w:hAnsi="Times New Roman" w:cs="Times New Roman"/>
          <w:color w:val="424242"/>
          <w:sz w:val="20"/>
          <w:szCs w:val="20"/>
        </w:rPr>
        <w:t>-</w:t>
      </w:r>
      <w:r w:rsidRPr="00A3176F">
        <w:rPr>
          <w:rFonts w:ascii="Times New Roman" w:hAnsi="Times New Roman" w:cs="Times New Roman"/>
          <w:bCs/>
          <w:color w:val="575757"/>
          <w:sz w:val="20"/>
          <w:szCs w:val="20"/>
        </w:rPr>
        <w:t>Hartley Comes</w:t>
      </w:r>
      <w:r w:rsidRPr="00A3176F">
        <w:rPr>
          <w:rFonts w:ascii="Times New Roman" w:hAnsi="Times New Roman" w:cs="Times New Roman"/>
          <w:color w:val="424242"/>
          <w:sz w:val="20"/>
          <w:szCs w:val="20"/>
        </w:rPr>
        <w:t xml:space="preserve"> to Great </w:t>
      </w:r>
      <w:r w:rsidRPr="00A3176F">
        <w:rPr>
          <w:rFonts w:ascii="Times New Roman" w:hAnsi="Times New Roman" w:cs="Times New Roman"/>
          <w:bCs/>
          <w:color w:val="575757"/>
          <w:sz w:val="20"/>
          <w:szCs w:val="20"/>
        </w:rPr>
        <w:t>Britain’</w:t>
      </w:r>
      <w:r w:rsidRPr="00A3176F">
        <w:rPr>
          <w:rFonts w:ascii="Times New Roman" w:hAnsi="Times New Roman" w:cs="Times New Roman"/>
          <w:color w:val="424242"/>
          <w:sz w:val="20"/>
          <w:szCs w:val="20"/>
        </w:rPr>
        <w:t xml:space="preserve"> (1972) 81 Yale LJ 1421.</w:t>
      </w:r>
    </w:p>
  </w:footnote>
  <w:footnote w:id="16">
    <w:p w14:paraId="6AE9F915" w14:textId="2D0ADDB1" w:rsidR="00854507" w:rsidRPr="00A3176F" w:rsidRDefault="00854507">
      <w:pPr>
        <w:pStyle w:val="FootnoteText"/>
        <w:rPr>
          <w:rFonts w:ascii="Times New Roman" w:hAnsi="Times New Roman" w:cs="Times New Roman"/>
          <w:sz w:val="20"/>
          <w:szCs w:val="20"/>
        </w:rPr>
      </w:pPr>
      <w:r w:rsidRPr="00A3176F">
        <w:rPr>
          <w:rStyle w:val="FootnoteReference"/>
          <w:rFonts w:ascii="Times New Roman" w:hAnsi="Times New Roman" w:cs="Times New Roman"/>
          <w:sz w:val="20"/>
          <w:szCs w:val="20"/>
        </w:rPr>
        <w:footnoteRef/>
      </w:r>
      <w:r w:rsidRPr="00A3176F">
        <w:rPr>
          <w:rFonts w:ascii="Times New Roman" w:hAnsi="Times New Roman" w:cs="Times New Roman"/>
          <w:sz w:val="20"/>
          <w:szCs w:val="20"/>
        </w:rPr>
        <w:t xml:space="preserve"> On these cases, see T </w:t>
      </w:r>
      <w:hyperlink r:id="rId1" w:history="1">
        <w:r w:rsidRPr="00A3176F">
          <w:rPr>
            <w:rFonts w:ascii="Times New Roman" w:hAnsi="Times New Roman" w:cs="Times New Roman"/>
            <w:sz w:val="20"/>
            <w:szCs w:val="20"/>
          </w:rPr>
          <w:t>A Novitz, ‘ Human Rights Analysis of the Viking and Laval Judgments</w:t>
        </w:r>
      </w:hyperlink>
      <w:r w:rsidRPr="00A3176F">
        <w:rPr>
          <w:rFonts w:ascii="Times New Roman" w:hAnsi="Times New Roman" w:cs="Times New Roman"/>
          <w:sz w:val="20"/>
          <w:szCs w:val="20"/>
        </w:rPr>
        <w:t xml:space="preserve">’, (2008) </w:t>
      </w:r>
      <w:r w:rsidRPr="00A3176F">
        <w:rPr>
          <w:rFonts w:ascii="Times New Roman" w:hAnsi="Times New Roman" w:cs="Times New Roman"/>
          <w:i/>
          <w:sz w:val="20"/>
          <w:szCs w:val="20"/>
        </w:rPr>
        <w:t>Cambridge Yearbook of European Legal Studies</w:t>
      </w:r>
      <w:r w:rsidRPr="00A3176F">
        <w:rPr>
          <w:rFonts w:ascii="Times New Roman" w:hAnsi="Times New Roman" w:cs="Times New Roman"/>
          <w:sz w:val="20"/>
          <w:szCs w:val="20"/>
        </w:rPr>
        <w:t xml:space="preserve"> 541.</w:t>
      </w:r>
    </w:p>
  </w:footnote>
  <w:footnote w:id="17">
    <w:p w14:paraId="67E7B5CB" w14:textId="264CE6F0" w:rsidR="00854507" w:rsidRPr="00A3176F" w:rsidRDefault="00854507">
      <w:pPr>
        <w:pStyle w:val="FootnoteText"/>
        <w:rPr>
          <w:rFonts w:ascii="Times New Roman" w:hAnsi="Times New Roman" w:cs="Times New Roman"/>
          <w:sz w:val="20"/>
          <w:szCs w:val="20"/>
        </w:rPr>
      </w:pPr>
      <w:r w:rsidRPr="00A3176F">
        <w:rPr>
          <w:rStyle w:val="FootnoteReference"/>
          <w:rFonts w:ascii="Times New Roman" w:hAnsi="Times New Roman" w:cs="Times New Roman"/>
          <w:sz w:val="20"/>
          <w:szCs w:val="20"/>
        </w:rPr>
        <w:footnoteRef/>
      </w:r>
      <w:r w:rsidRPr="00A3176F">
        <w:rPr>
          <w:rFonts w:ascii="Times New Roman" w:hAnsi="Times New Roman" w:cs="Times New Roman"/>
          <w:sz w:val="20"/>
          <w:szCs w:val="20"/>
        </w:rPr>
        <w:t xml:space="preserve"> This issue is more fully discussed in K D Ewing, ‘The Death of Social Europe’ (2015) 26 </w:t>
      </w:r>
      <w:r w:rsidRPr="00A3176F">
        <w:rPr>
          <w:rFonts w:ascii="Times New Roman" w:hAnsi="Times New Roman" w:cs="Times New Roman"/>
          <w:i/>
          <w:sz w:val="20"/>
          <w:szCs w:val="20"/>
        </w:rPr>
        <w:t>King’s Law Journal</w:t>
      </w:r>
      <w:r w:rsidRPr="00A3176F">
        <w:rPr>
          <w:rFonts w:ascii="Times New Roman" w:hAnsi="Times New Roman" w:cs="Times New Roman"/>
          <w:sz w:val="20"/>
          <w:szCs w:val="20"/>
        </w:rPr>
        <w:t xml:space="preserve"> 76.</w:t>
      </w:r>
    </w:p>
  </w:footnote>
  <w:footnote w:id="18">
    <w:p w14:paraId="63AE21EF" w14:textId="351CDB8F" w:rsidR="00820B99" w:rsidRPr="00A3176F" w:rsidRDefault="00820B99">
      <w:pPr>
        <w:pStyle w:val="FootnoteText"/>
        <w:rPr>
          <w:rFonts w:ascii="Times New Roman" w:hAnsi="Times New Roman" w:cs="Times New Roman"/>
          <w:sz w:val="20"/>
          <w:szCs w:val="20"/>
        </w:rPr>
      </w:pPr>
      <w:r w:rsidRPr="00A3176F">
        <w:rPr>
          <w:rStyle w:val="FootnoteReference"/>
          <w:rFonts w:ascii="Times New Roman" w:hAnsi="Times New Roman" w:cs="Times New Roman"/>
          <w:sz w:val="20"/>
          <w:szCs w:val="20"/>
        </w:rPr>
        <w:footnoteRef/>
      </w:r>
      <w:r w:rsidRPr="00A3176F">
        <w:rPr>
          <w:rFonts w:ascii="Times New Roman" w:hAnsi="Times New Roman" w:cs="Times New Roman"/>
          <w:sz w:val="20"/>
          <w:szCs w:val="20"/>
        </w:rPr>
        <w:t xml:space="preserve"> </w:t>
      </w:r>
      <w:r w:rsidR="00194661" w:rsidRPr="00A3176F">
        <w:rPr>
          <w:rFonts w:ascii="Times New Roman" w:hAnsi="Times New Roman" w:cs="Times New Roman"/>
          <w:sz w:val="20"/>
          <w:szCs w:val="20"/>
        </w:rPr>
        <w:t>Ibid.</w:t>
      </w:r>
    </w:p>
  </w:footnote>
  <w:footnote w:id="19">
    <w:p w14:paraId="5E60505F" w14:textId="16BF11B4" w:rsidR="00820B99" w:rsidRPr="00A3176F" w:rsidRDefault="00820B99">
      <w:pPr>
        <w:pStyle w:val="FootnoteText"/>
        <w:rPr>
          <w:rFonts w:ascii="Times New Roman" w:hAnsi="Times New Roman" w:cs="Times New Roman"/>
          <w:sz w:val="20"/>
          <w:szCs w:val="20"/>
        </w:rPr>
      </w:pPr>
      <w:r w:rsidRPr="00A3176F">
        <w:rPr>
          <w:rStyle w:val="FootnoteReference"/>
          <w:rFonts w:ascii="Times New Roman" w:hAnsi="Times New Roman" w:cs="Times New Roman"/>
          <w:sz w:val="20"/>
          <w:szCs w:val="20"/>
        </w:rPr>
        <w:footnoteRef/>
      </w:r>
      <w:r w:rsidRPr="00A3176F">
        <w:rPr>
          <w:rFonts w:ascii="Times New Roman" w:hAnsi="Times New Roman" w:cs="Times New Roman"/>
          <w:sz w:val="20"/>
          <w:szCs w:val="20"/>
        </w:rPr>
        <w:t xml:space="preserve"> </w:t>
      </w:r>
      <w:r w:rsidR="00194661" w:rsidRPr="00A3176F">
        <w:rPr>
          <w:rFonts w:ascii="Times New Roman" w:hAnsi="Times New Roman" w:cs="Times New Roman"/>
          <w:i/>
          <w:sz w:val="20"/>
          <w:szCs w:val="20"/>
        </w:rPr>
        <w:t>Case 370/12, Pringle v Government of Ireland</w:t>
      </w:r>
      <w:r w:rsidR="00194661" w:rsidRPr="00A3176F">
        <w:rPr>
          <w:rFonts w:ascii="Times New Roman" w:hAnsi="Times New Roman" w:cs="Times New Roman"/>
          <w:sz w:val="20"/>
          <w:szCs w:val="20"/>
        </w:rPr>
        <w:t xml:space="preserve">, 27 November 2012. </w:t>
      </w:r>
    </w:p>
  </w:footnote>
  <w:footnote w:id="20">
    <w:p w14:paraId="641C1F2F" w14:textId="14D80CB2" w:rsidR="00854507" w:rsidRPr="00A3176F" w:rsidRDefault="00854507">
      <w:pPr>
        <w:pStyle w:val="FootnoteText"/>
        <w:rPr>
          <w:rFonts w:ascii="Times New Roman" w:hAnsi="Times New Roman" w:cs="Times New Roman"/>
          <w:sz w:val="20"/>
          <w:szCs w:val="20"/>
        </w:rPr>
      </w:pPr>
      <w:r w:rsidRPr="00A3176F">
        <w:rPr>
          <w:rStyle w:val="FootnoteReference"/>
          <w:rFonts w:ascii="Times New Roman" w:hAnsi="Times New Roman" w:cs="Times New Roman"/>
          <w:sz w:val="20"/>
          <w:szCs w:val="20"/>
        </w:rPr>
        <w:footnoteRef/>
      </w:r>
      <w:r w:rsidRPr="00A3176F">
        <w:rPr>
          <w:rFonts w:ascii="Times New Roman" w:hAnsi="Times New Roman" w:cs="Times New Roman"/>
          <w:sz w:val="20"/>
          <w:szCs w:val="20"/>
        </w:rPr>
        <w:t xml:space="preserve"> For a lucid account, see John Hendy QC, ‘A Threat to the Sovereignty of Courts and Parliaments’ (2015 (128) </w:t>
      </w:r>
      <w:r w:rsidRPr="00A3176F">
        <w:rPr>
          <w:rFonts w:ascii="Times New Roman" w:hAnsi="Times New Roman" w:cs="Times New Roman"/>
          <w:i/>
          <w:sz w:val="20"/>
          <w:szCs w:val="20"/>
        </w:rPr>
        <w:t>Graya</w:t>
      </w:r>
      <w:r w:rsidRPr="00A3176F">
        <w:rPr>
          <w:rFonts w:ascii="Times New Roman" w:hAnsi="Times New Roman" w:cs="Times New Roman"/>
          <w:sz w:val="20"/>
          <w:szCs w:val="20"/>
        </w:rPr>
        <w:t xml:space="preserve"> 52.</w:t>
      </w:r>
    </w:p>
  </w:footnote>
  <w:footnote w:id="21">
    <w:p w14:paraId="452CB9C7" w14:textId="2F2818F5" w:rsidR="00854507" w:rsidRPr="00A3176F" w:rsidRDefault="00854507">
      <w:pPr>
        <w:pStyle w:val="FootnoteText"/>
        <w:rPr>
          <w:rFonts w:ascii="Times New Roman" w:hAnsi="Times New Roman" w:cs="Times New Roman"/>
          <w:sz w:val="20"/>
          <w:szCs w:val="20"/>
        </w:rPr>
      </w:pPr>
      <w:r w:rsidRPr="00A3176F">
        <w:rPr>
          <w:rStyle w:val="FootnoteReference"/>
          <w:rFonts w:ascii="Times New Roman" w:hAnsi="Times New Roman" w:cs="Times New Roman"/>
          <w:sz w:val="20"/>
          <w:szCs w:val="20"/>
        </w:rPr>
        <w:footnoteRef/>
      </w:r>
      <w:r w:rsidRPr="00A3176F">
        <w:rPr>
          <w:rFonts w:ascii="Times New Roman" w:hAnsi="Times New Roman" w:cs="Times New Roman"/>
          <w:sz w:val="20"/>
          <w:szCs w:val="20"/>
        </w:rPr>
        <w:t xml:space="preserve"> Jack London, </w:t>
      </w:r>
      <w:r w:rsidRPr="00A3176F">
        <w:rPr>
          <w:rFonts w:ascii="Times New Roman" w:hAnsi="Times New Roman" w:cs="Times New Roman"/>
          <w:i/>
          <w:sz w:val="20"/>
          <w:szCs w:val="20"/>
        </w:rPr>
        <w:t>The Iron Heel</w:t>
      </w:r>
      <w:r w:rsidRPr="00A3176F">
        <w:rPr>
          <w:rFonts w:ascii="Times New Roman" w:hAnsi="Times New Roman" w:cs="Times New Roman"/>
          <w:sz w:val="20"/>
          <w:szCs w:val="20"/>
        </w:rPr>
        <w:t xml:space="preserve"> (1908).</w:t>
      </w:r>
    </w:p>
  </w:footnote>
  <w:footnote w:id="22">
    <w:p w14:paraId="41F1EE94" w14:textId="229A0F3A" w:rsidR="00854507" w:rsidRPr="00A3176F" w:rsidRDefault="00854507">
      <w:pPr>
        <w:pStyle w:val="FootnoteText"/>
        <w:rPr>
          <w:rFonts w:ascii="Times New Roman" w:hAnsi="Times New Roman" w:cs="Times New Roman"/>
          <w:sz w:val="20"/>
          <w:szCs w:val="20"/>
        </w:rPr>
      </w:pPr>
      <w:r w:rsidRPr="00A3176F">
        <w:rPr>
          <w:rStyle w:val="FootnoteReference"/>
          <w:rFonts w:ascii="Times New Roman" w:hAnsi="Times New Roman" w:cs="Times New Roman"/>
          <w:sz w:val="20"/>
          <w:szCs w:val="20"/>
        </w:rPr>
        <w:footnoteRef/>
      </w:r>
      <w:r w:rsidRPr="00A3176F">
        <w:rPr>
          <w:rFonts w:ascii="Times New Roman" w:hAnsi="Times New Roman" w:cs="Times New Roman"/>
          <w:sz w:val="20"/>
          <w:szCs w:val="20"/>
        </w:rPr>
        <w:t xml:space="preserve"> See the brilliant piece by Tim Kuhner, ‘American Plutocracy’ (2015) 26 </w:t>
      </w:r>
      <w:r w:rsidRPr="00A3176F">
        <w:rPr>
          <w:rFonts w:ascii="Times New Roman" w:hAnsi="Times New Roman" w:cs="Times New Roman"/>
          <w:i/>
          <w:sz w:val="20"/>
          <w:szCs w:val="20"/>
        </w:rPr>
        <w:t>King’s Law Journal</w:t>
      </w:r>
      <w:r w:rsidRPr="00A3176F">
        <w:rPr>
          <w:rFonts w:ascii="Times New Roman" w:hAnsi="Times New Roman" w:cs="Times New Roman"/>
          <w:sz w:val="20"/>
          <w:szCs w:val="20"/>
        </w:rPr>
        <w:t xml:space="preserve"> 1.</w:t>
      </w:r>
    </w:p>
  </w:footnote>
  <w:footnote w:id="23">
    <w:p w14:paraId="15EAF127" w14:textId="41403E4C" w:rsidR="00854507" w:rsidRPr="00A3176F" w:rsidRDefault="00854507">
      <w:pPr>
        <w:pStyle w:val="FootnoteText"/>
        <w:rPr>
          <w:rFonts w:ascii="Times New Roman" w:hAnsi="Times New Roman" w:cs="Times New Roman"/>
          <w:sz w:val="20"/>
          <w:szCs w:val="20"/>
        </w:rPr>
      </w:pPr>
      <w:r w:rsidRPr="00A3176F">
        <w:rPr>
          <w:rStyle w:val="FootnoteReference"/>
          <w:rFonts w:ascii="Times New Roman" w:hAnsi="Times New Roman" w:cs="Times New Roman"/>
          <w:sz w:val="20"/>
          <w:szCs w:val="20"/>
        </w:rPr>
        <w:footnoteRef/>
      </w:r>
      <w:r w:rsidRPr="00A3176F">
        <w:rPr>
          <w:rFonts w:ascii="Times New Roman" w:hAnsi="Times New Roman" w:cs="Times New Roman"/>
          <w:sz w:val="20"/>
          <w:szCs w:val="20"/>
        </w:rPr>
        <w:t xml:space="preserve"> As explained in promotional material by the US Trade Representative:  https://ustr.gov/tpp/.</w:t>
      </w:r>
    </w:p>
  </w:footnote>
  <w:footnote w:id="24">
    <w:p w14:paraId="426486B6" w14:textId="628BE4D9" w:rsidR="00854507" w:rsidRPr="00A3176F" w:rsidRDefault="00854507">
      <w:pPr>
        <w:pStyle w:val="FootnoteText"/>
        <w:rPr>
          <w:rFonts w:ascii="Times New Roman" w:hAnsi="Times New Roman" w:cs="Times New Roman"/>
          <w:sz w:val="20"/>
          <w:szCs w:val="20"/>
        </w:rPr>
      </w:pPr>
      <w:r w:rsidRPr="00A3176F">
        <w:rPr>
          <w:rStyle w:val="FootnoteReference"/>
          <w:rFonts w:ascii="Times New Roman" w:hAnsi="Times New Roman" w:cs="Times New Roman"/>
          <w:sz w:val="20"/>
          <w:szCs w:val="20"/>
        </w:rPr>
        <w:footnoteRef/>
      </w:r>
      <w:r w:rsidRPr="00A3176F">
        <w:rPr>
          <w:rFonts w:ascii="Times New Roman" w:hAnsi="Times New Roman" w:cs="Times New Roman"/>
          <w:sz w:val="20"/>
          <w:szCs w:val="20"/>
        </w:rPr>
        <w:t xml:space="preserve"> For a powerful critique of which, see Alan Bogg, </w:t>
      </w:r>
      <w:r w:rsidRPr="00A3176F">
        <w:rPr>
          <w:rFonts w:ascii="Times New Roman" w:hAnsi="Times New Roman" w:cs="Times New Roman"/>
          <w:i/>
          <w:sz w:val="20"/>
          <w:szCs w:val="20"/>
        </w:rPr>
        <w:t xml:space="preserve">The Democratic Aspects of Trade Union Recognition </w:t>
      </w:r>
      <w:r w:rsidRPr="00A3176F">
        <w:rPr>
          <w:rFonts w:ascii="Times New Roman" w:hAnsi="Times New Roman" w:cs="Times New Roman"/>
          <w:sz w:val="20"/>
          <w:szCs w:val="20"/>
        </w:rPr>
        <w:t>(2009).</w:t>
      </w:r>
    </w:p>
  </w:footnote>
  <w:footnote w:id="25">
    <w:p w14:paraId="59CA62C9" w14:textId="444B4C67" w:rsidR="00854507" w:rsidRPr="006C39BB" w:rsidRDefault="00854507">
      <w:pPr>
        <w:pStyle w:val="FootnoteText"/>
        <w:rPr>
          <w:rFonts w:ascii="Times New Roman" w:hAnsi="Times New Roman" w:cs="Times New Roman"/>
          <w:sz w:val="20"/>
          <w:szCs w:val="20"/>
        </w:rPr>
      </w:pPr>
      <w:r w:rsidRPr="00A3176F">
        <w:rPr>
          <w:rStyle w:val="FootnoteReference"/>
          <w:rFonts w:ascii="Times New Roman" w:hAnsi="Times New Roman" w:cs="Times New Roman"/>
          <w:sz w:val="20"/>
          <w:szCs w:val="20"/>
        </w:rPr>
        <w:footnoteRef/>
      </w:r>
      <w:r w:rsidRPr="00A3176F">
        <w:rPr>
          <w:rFonts w:ascii="Times New Roman" w:hAnsi="Times New Roman" w:cs="Times New Roman"/>
          <w:sz w:val="20"/>
          <w:szCs w:val="20"/>
        </w:rPr>
        <w:t xml:space="preserve"> O Kahn Freund, ‘The Weimar Const</w:t>
      </w:r>
      <w:r w:rsidRPr="006C39BB">
        <w:rPr>
          <w:rFonts w:ascii="Times New Roman" w:hAnsi="Times New Roman" w:cs="Times New Roman"/>
          <w:sz w:val="20"/>
          <w:szCs w:val="20"/>
        </w:rPr>
        <w:t xml:space="preserve">itution’ (1944) </w:t>
      </w:r>
      <w:r w:rsidRPr="006C39BB">
        <w:rPr>
          <w:rFonts w:ascii="Times New Roman" w:hAnsi="Times New Roman" w:cs="Times New Roman"/>
          <w:i/>
          <w:sz w:val="20"/>
          <w:szCs w:val="20"/>
        </w:rPr>
        <w:t>Political Quarterly</w:t>
      </w:r>
      <w:r w:rsidRPr="006C39BB">
        <w:rPr>
          <w:rFonts w:ascii="Times New Roman" w:hAnsi="Times New Roman" w:cs="Times New Roman"/>
          <w:sz w:val="20"/>
          <w:szCs w:val="20"/>
        </w:rPr>
        <w:t xml:space="preserve"> 229.</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E700D"/>
    <w:multiLevelType w:val="hybridMultilevel"/>
    <w:tmpl w:val="F1B8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B0E"/>
    <w:rsid w:val="000370B0"/>
    <w:rsid w:val="00045C27"/>
    <w:rsid w:val="000708C8"/>
    <w:rsid w:val="00084126"/>
    <w:rsid w:val="0008549E"/>
    <w:rsid w:val="000976F8"/>
    <w:rsid w:val="000B09F9"/>
    <w:rsid w:val="000B2294"/>
    <w:rsid w:val="000D6416"/>
    <w:rsid w:val="000E3F44"/>
    <w:rsid w:val="00117917"/>
    <w:rsid w:val="00117B09"/>
    <w:rsid w:val="00130D7B"/>
    <w:rsid w:val="0013276E"/>
    <w:rsid w:val="00162294"/>
    <w:rsid w:val="00167243"/>
    <w:rsid w:val="00194661"/>
    <w:rsid w:val="001A4803"/>
    <w:rsid w:val="001A6885"/>
    <w:rsid w:val="001A7D0C"/>
    <w:rsid w:val="001B3861"/>
    <w:rsid w:val="001C1A9F"/>
    <w:rsid w:val="001D4BD3"/>
    <w:rsid w:val="00205FFA"/>
    <w:rsid w:val="00211CB2"/>
    <w:rsid w:val="002128F7"/>
    <w:rsid w:val="00252C0D"/>
    <w:rsid w:val="002703FB"/>
    <w:rsid w:val="002B5B8A"/>
    <w:rsid w:val="002C1FD4"/>
    <w:rsid w:val="002F0CC6"/>
    <w:rsid w:val="002F32EF"/>
    <w:rsid w:val="00301A59"/>
    <w:rsid w:val="003037C4"/>
    <w:rsid w:val="00306FE3"/>
    <w:rsid w:val="00320F2C"/>
    <w:rsid w:val="00397E87"/>
    <w:rsid w:val="003B26E2"/>
    <w:rsid w:val="003B35F3"/>
    <w:rsid w:val="003E07BC"/>
    <w:rsid w:val="003F720D"/>
    <w:rsid w:val="00434F31"/>
    <w:rsid w:val="0043659F"/>
    <w:rsid w:val="004767D4"/>
    <w:rsid w:val="004B5FDB"/>
    <w:rsid w:val="004D020B"/>
    <w:rsid w:val="004E0106"/>
    <w:rsid w:val="004F761F"/>
    <w:rsid w:val="0050666B"/>
    <w:rsid w:val="00513AA1"/>
    <w:rsid w:val="00541AD7"/>
    <w:rsid w:val="00554920"/>
    <w:rsid w:val="00593191"/>
    <w:rsid w:val="00596C40"/>
    <w:rsid w:val="005A656F"/>
    <w:rsid w:val="005E7EE5"/>
    <w:rsid w:val="006165DB"/>
    <w:rsid w:val="00647886"/>
    <w:rsid w:val="006514F9"/>
    <w:rsid w:val="006549B6"/>
    <w:rsid w:val="00663170"/>
    <w:rsid w:val="006A2717"/>
    <w:rsid w:val="006B2376"/>
    <w:rsid w:val="006B4059"/>
    <w:rsid w:val="006C39BB"/>
    <w:rsid w:val="006D4E27"/>
    <w:rsid w:val="006D58EB"/>
    <w:rsid w:val="00753651"/>
    <w:rsid w:val="00756668"/>
    <w:rsid w:val="007862DE"/>
    <w:rsid w:val="007941AD"/>
    <w:rsid w:val="007C1F64"/>
    <w:rsid w:val="007D1C9E"/>
    <w:rsid w:val="007E0C05"/>
    <w:rsid w:val="007E5CE2"/>
    <w:rsid w:val="007F122F"/>
    <w:rsid w:val="008044DF"/>
    <w:rsid w:val="00820B15"/>
    <w:rsid w:val="00820B99"/>
    <w:rsid w:val="00826C82"/>
    <w:rsid w:val="00841FB3"/>
    <w:rsid w:val="00844B74"/>
    <w:rsid w:val="00854507"/>
    <w:rsid w:val="00862F36"/>
    <w:rsid w:val="008702E3"/>
    <w:rsid w:val="008717F5"/>
    <w:rsid w:val="008844C9"/>
    <w:rsid w:val="00893C1F"/>
    <w:rsid w:val="008A11DA"/>
    <w:rsid w:val="008E4785"/>
    <w:rsid w:val="00901E6C"/>
    <w:rsid w:val="009219CE"/>
    <w:rsid w:val="00940E57"/>
    <w:rsid w:val="0094263C"/>
    <w:rsid w:val="00960DCF"/>
    <w:rsid w:val="009649E6"/>
    <w:rsid w:val="009665E0"/>
    <w:rsid w:val="00971A74"/>
    <w:rsid w:val="009948F2"/>
    <w:rsid w:val="009A28E1"/>
    <w:rsid w:val="009C7F19"/>
    <w:rsid w:val="009D0C1E"/>
    <w:rsid w:val="009D3398"/>
    <w:rsid w:val="009E3F1E"/>
    <w:rsid w:val="009E44AD"/>
    <w:rsid w:val="009F679C"/>
    <w:rsid w:val="00A13A19"/>
    <w:rsid w:val="00A23764"/>
    <w:rsid w:val="00A266ED"/>
    <w:rsid w:val="00A3176F"/>
    <w:rsid w:val="00A325C7"/>
    <w:rsid w:val="00A71126"/>
    <w:rsid w:val="00A73A8A"/>
    <w:rsid w:val="00A77982"/>
    <w:rsid w:val="00B022BC"/>
    <w:rsid w:val="00B27A8D"/>
    <w:rsid w:val="00B5385F"/>
    <w:rsid w:val="00B754FB"/>
    <w:rsid w:val="00BA27DD"/>
    <w:rsid w:val="00BA46DB"/>
    <w:rsid w:val="00BA51DB"/>
    <w:rsid w:val="00BA7F6F"/>
    <w:rsid w:val="00BD06AF"/>
    <w:rsid w:val="00BE0A6C"/>
    <w:rsid w:val="00C01A04"/>
    <w:rsid w:val="00C47A6B"/>
    <w:rsid w:val="00C622D5"/>
    <w:rsid w:val="00C652EE"/>
    <w:rsid w:val="00C77B48"/>
    <w:rsid w:val="00C92150"/>
    <w:rsid w:val="00C97FD1"/>
    <w:rsid w:val="00CB2515"/>
    <w:rsid w:val="00CF1A50"/>
    <w:rsid w:val="00D173AC"/>
    <w:rsid w:val="00D2523A"/>
    <w:rsid w:val="00D307D8"/>
    <w:rsid w:val="00D62357"/>
    <w:rsid w:val="00D6370F"/>
    <w:rsid w:val="00D6428D"/>
    <w:rsid w:val="00D83525"/>
    <w:rsid w:val="00D917EC"/>
    <w:rsid w:val="00DF4C72"/>
    <w:rsid w:val="00E06ED8"/>
    <w:rsid w:val="00E16895"/>
    <w:rsid w:val="00E17F49"/>
    <w:rsid w:val="00E45BC5"/>
    <w:rsid w:val="00E72ED0"/>
    <w:rsid w:val="00E74D6F"/>
    <w:rsid w:val="00E857D2"/>
    <w:rsid w:val="00E85B0E"/>
    <w:rsid w:val="00EB2182"/>
    <w:rsid w:val="00EB35FE"/>
    <w:rsid w:val="00EB3F41"/>
    <w:rsid w:val="00EE7496"/>
    <w:rsid w:val="00EF7756"/>
    <w:rsid w:val="00F04BAE"/>
    <w:rsid w:val="00F34767"/>
    <w:rsid w:val="00F636A5"/>
    <w:rsid w:val="00F717CF"/>
    <w:rsid w:val="00F93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385E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263C"/>
    <w:pPr>
      <w:spacing w:before="100" w:beforeAutospacing="1" w:after="100" w:afterAutospacing="1"/>
    </w:pPr>
    <w:rPr>
      <w:rFonts w:ascii="Times" w:hAnsi="Times" w:cs="Times New Roman"/>
      <w:sz w:val="20"/>
      <w:szCs w:val="20"/>
      <w:lang w:val="en-GB"/>
    </w:rPr>
  </w:style>
  <w:style w:type="paragraph" w:styleId="Footer">
    <w:name w:val="footer"/>
    <w:basedOn w:val="Normal"/>
    <w:link w:val="FooterChar"/>
    <w:uiPriority w:val="99"/>
    <w:unhideWhenUsed/>
    <w:rsid w:val="00B5385F"/>
    <w:pPr>
      <w:tabs>
        <w:tab w:val="center" w:pos="4320"/>
        <w:tab w:val="right" w:pos="8640"/>
      </w:tabs>
    </w:pPr>
  </w:style>
  <w:style w:type="character" w:customStyle="1" w:styleId="FooterChar">
    <w:name w:val="Footer Char"/>
    <w:basedOn w:val="DefaultParagraphFont"/>
    <w:link w:val="Footer"/>
    <w:uiPriority w:val="99"/>
    <w:rsid w:val="00B5385F"/>
  </w:style>
  <w:style w:type="character" w:styleId="PageNumber">
    <w:name w:val="page number"/>
    <w:basedOn w:val="DefaultParagraphFont"/>
    <w:uiPriority w:val="99"/>
    <w:semiHidden/>
    <w:unhideWhenUsed/>
    <w:rsid w:val="00B5385F"/>
  </w:style>
  <w:style w:type="paragraph" w:styleId="ListParagraph">
    <w:name w:val="List Paragraph"/>
    <w:basedOn w:val="Normal"/>
    <w:uiPriority w:val="34"/>
    <w:qFormat/>
    <w:rsid w:val="007941AD"/>
    <w:pPr>
      <w:ind w:left="720"/>
      <w:contextualSpacing/>
    </w:pPr>
  </w:style>
  <w:style w:type="paragraph" w:styleId="FootnoteText">
    <w:name w:val="footnote text"/>
    <w:basedOn w:val="Normal"/>
    <w:link w:val="FootnoteTextChar"/>
    <w:uiPriority w:val="99"/>
    <w:unhideWhenUsed/>
    <w:rsid w:val="00513AA1"/>
  </w:style>
  <w:style w:type="character" w:customStyle="1" w:styleId="FootnoteTextChar">
    <w:name w:val="Footnote Text Char"/>
    <w:basedOn w:val="DefaultParagraphFont"/>
    <w:link w:val="FootnoteText"/>
    <w:uiPriority w:val="99"/>
    <w:rsid w:val="00513AA1"/>
  </w:style>
  <w:style w:type="character" w:styleId="FootnoteReference">
    <w:name w:val="footnote reference"/>
    <w:basedOn w:val="DefaultParagraphFont"/>
    <w:uiPriority w:val="99"/>
    <w:unhideWhenUsed/>
    <w:rsid w:val="00513AA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263C"/>
    <w:pPr>
      <w:spacing w:before="100" w:beforeAutospacing="1" w:after="100" w:afterAutospacing="1"/>
    </w:pPr>
    <w:rPr>
      <w:rFonts w:ascii="Times" w:hAnsi="Times" w:cs="Times New Roman"/>
      <w:sz w:val="20"/>
      <w:szCs w:val="20"/>
      <w:lang w:val="en-GB"/>
    </w:rPr>
  </w:style>
  <w:style w:type="paragraph" w:styleId="Footer">
    <w:name w:val="footer"/>
    <w:basedOn w:val="Normal"/>
    <w:link w:val="FooterChar"/>
    <w:uiPriority w:val="99"/>
    <w:unhideWhenUsed/>
    <w:rsid w:val="00B5385F"/>
    <w:pPr>
      <w:tabs>
        <w:tab w:val="center" w:pos="4320"/>
        <w:tab w:val="right" w:pos="8640"/>
      </w:tabs>
    </w:pPr>
  </w:style>
  <w:style w:type="character" w:customStyle="1" w:styleId="FooterChar">
    <w:name w:val="Footer Char"/>
    <w:basedOn w:val="DefaultParagraphFont"/>
    <w:link w:val="Footer"/>
    <w:uiPriority w:val="99"/>
    <w:rsid w:val="00B5385F"/>
  </w:style>
  <w:style w:type="character" w:styleId="PageNumber">
    <w:name w:val="page number"/>
    <w:basedOn w:val="DefaultParagraphFont"/>
    <w:uiPriority w:val="99"/>
    <w:semiHidden/>
    <w:unhideWhenUsed/>
    <w:rsid w:val="00B5385F"/>
  </w:style>
  <w:style w:type="paragraph" w:styleId="ListParagraph">
    <w:name w:val="List Paragraph"/>
    <w:basedOn w:val="Normal"/>
    <w:uiPriority w:val="34"/>
    <w:qFormat/>
    <w:rsid w:val="007941AD"/>
    <w:pPr>
      <w:ind w:left="720"/>
      <w:contextualSpacing/>
    </w:pPr>
  </w:style>
  <w:style w:type="paragraph" w:styleId="FootnoteText">
    <w:name w:val="footnote text"/>
    <w:basedOn w:val="Normal"/>
    <w:link w:val="FootnoteTextChar"/>
    <w:uiPriority w:val="99"/>
    <w:unhideWhenUsed/>
    <w:rsid w:val="00513AA1"/>
  </w:style>
  <w:style w:type="character" w:customStyle="1" w:styleId="FootnoteTextChar">
    <w:name w:val="Footnote Text Char"/>
    <w:basedOn w:val="DefaultParagraphFont"/>
    <w:link w:val="FootnoteText"/>
    <w:uiPriority w:val="99"/>
    <w:rsid w:val="00513AA1"/>
  </w:style>
  <w:style w:type="character" w:styleId="FootnoteReference">
    <w:name w:val="footnote reference"/>
    <w:basedOn w:val="DefaultParagraphFont"/>
    <w:uiPriority w:val="99"/>
    <w:unhideWhenUsed/>
    <w:rsid w:val="00513A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3951">
      <w:bodyDiv w:val="1"/>
      <w:marLeft w:val="0"/>
      <w:marRight w:val="0"/>
      <w:marTop w:val="0"/>
      <w:marBottom w:val="0"/>
      <w:divBdr>
        <w:top w:val="none" w:sz="0" w:space="0" w:color="auto"/>
        <w:left w:val="none" w:sz="0" w:space="0" w:color="auto"/>
        <w:bottom w:val="none" w:sz="0" w:space="0" w:color="auto"/>
        <w:right w:val="none" w:sz="0" w:space="0" w:color="auto"/>
      </w:divBdr>
      <w:divsChild>
        <w:div w:id="1133134282">
          <w:marLeft w:val="0"/>
          <w:marRight w:val="0"/>
          <w:marTop w:val="0"/>
          <w:marBottom w:val="0"/>
          <w:divBdr>
            <w:top w:val="none" w:sz="0" w:space="0" w:color="auto"/>
            <w:left w:val="none" w:sz="0" w:space="0" w:color="auto"/>
            <w:bottom w:val="none" w:sz="0" w:space="0" w:color="auto"/>
            <w:right w:val="none" w:sz="0" w:space="0" w:color="auto"/>
          </w:divBdr>
          <w:divsChild>
            <w:div w:id="1943297613">
              <w:marLeft w:val="0"/>
              <w:marRight w:val="0"/>
              <w:marTop w:val="0"/>
              <w:marBottom w:val="0"/>
              <w:divBdr>
                <w:top w:val="none" w:sz="0" w:space="0" w:color="auto"/>
                <w:left w:val="none" w:sz="0" w:space="0" w:color="auto"/>
                <w:bottom w:val="none" w:sz="0" w:space="0" w:color="auto"/>
                <w:right w:val="none" w:sz="0" w:space="0" w:color="auto"/>
              </w:divBdr>
              <w:divsChild>
                <w:div w:id="12945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369553">
      <w:bodyDiv w:val="1"/>
      <w:marLeft w:val="0"/>
      <w:marRight w:val="0"/>
      <w:marTop w:val="0"/>
      <w:marBottom w:val="0"/>
      <w:divBdr>
        <w:top w:val="none" w:sz="0" w:space="0" w:color="auto"/>
        <w:left w:val="none" w:sz="0" w:space="0" w:color="auto"/>
        <w:bottom w:val="none" w:sz="0" w:space="0" w:color="auto"/>
        <w:right w:val="none" w:sz="0" w:space="0" w:color="auto"/>
      </w:divBdr>
      <w:divsChild>
        <w:div w:id="2119374522">
          <w:marLeft w:val="0"/>
          <w:marRight w:val="0"/>
          <w:marTop w:val="0"/>
          <w:marBottom w:val="0"/>
          <w:divBdr>
            <w:top w:val="none" w:sz="0" w:space="0" w:color="auto"/>
            <w:left w:val="none" w:sz="0" w:space="0" w:color="auto"/>
            <w:bottom w:val="none" w:sz="0" w:space="0" w:color="auto"/>
            <w:right w:val="none" w:sz="0" w:space="0" w:color="auto"/>
          </w:divBdr>
          <w:divsChild>
            <w:div w:id="896623022">
              <w:marLeft w:val="0"/>
              <w:marRight w:val="0"/>
              <w:marTop w:val="0"/>
              <w:marBottom w:val="0"/>
              <w:divBdr>
                <w:top w:val="none" w:sz="0" w:space="0" w:color="auto"/>
                <w:left w:val="none" w:sz="0" w:space="0" w:color="auto"/>
                <w:bottom w:val="none" w:sz="0" w:space="0" w:color="auto"/>
                <w:right w:val="none" w:sz="0" w:space="0" w:color="auto"/>
              </w:divBdr>
              <w:divsChild>
                <w:div w:id="1052003288">
                  <w:marLeft w:val="0"/>
                  <w:marRight w:val="0"/>
                  <w:marTop w:val="0"/>
                  <w:marBottom w:val="0"/>
                  <w:divBdr>
                    <w:top w:val="none" w:sz="0" w:space="0" w:color="auto"/>
                    <w:left w:val="none" w:sz="0" w:space="0" w:color="auto"/>
                    <w:bottom w:val="none" w:sz="0" w:space="0" w:color="auto"/>
                    <w:right w:val="none" w:sz="0" w:space="0" w:color="auto"/>
                  </w:divBdr>
                </w:div>
              </w:divsChild>
            </w:div>
            <w:div w:id="1827016654">
              <w:marLeft w:val="0"/>
              <w:marRight w:val="0"/>
              <w:marTop w:val="0"/>
              <w:marBottom w:val="0"/>
              <w:divBdr>
                <w:top w:val="none" w:sz="0" w:space="0" w:color="auto"/>
                <w:left w:val="none" w:sz="0" w:space="0" w:color="auto"/>
                <w:bottom w:val="none" w:sz="0" w:space="0" w:color="auto"/>
                <w:right w:val="none" w:sz="0" w:space="0" w:color="auto"/>
              </w:divBdr>
              <w:divsChild>
                <w:div w:id="1674912166">
                  <w:marLeft w:val="0"/>
                  <w:marRight w:val="0"/>
                  <w:marTop w:val="0"/>
                  <w:marBottom w:val="0"/>
                  <w:divBdr>
                    <w:top w:val="none" w:sz="0" w:space="0" w:color="auto"/>
                    <w:left w:val="none" w:sz="0" w:space="0" w:color="auto"/>
                    <w:bottom w:val="none" w:sz="0" w:space="0" w:color="auto"/>
                    <w:right w:val="none" w:sz="0" w:space="0" w:color="auto"/>
                  </w:divBdr>
                </w:div>
              </w:divsChild>
            </w:div>
            <w:div w:id="1813212788">
              <w:marLeft w:val="0"/>
              <w:marRight w:val="0"/>
              <w:marTop w:val="0"/>
              <w:marBottom w:val="0"/>
              <w:divBdr>
                <w:top w:val="none" w:sz="0" w:space="0" w:color="auto"/>
                <w:left w:val="none" w:sz="0" w:space="0" w:color="auto"/>
                <w:bottom w:val="none" w:sz="0" w:space="0" w:color="auto"/>
                <w:right w:val="none" w:sz="0" w:space="0" w:color="auto"/>
              </w:divBdr>
              <w:divsChild>
                <w:div w:id="160072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research-information.bristol.ac.uk/en/publications/a-human-rights-analysis-of-the-viking-and-laval-judgments(ddba1f4d-58c3-4f0a-a578-cc4f06921a5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601</TotalTime>
  <Pages>9</Pages>
  <Words>3404</Words>
  <Characters>19405</Characters>
  <Application>Microsoft Macintosh Word</Application>
  <DocSecurity>0</DocSecurity>
  <Lines>161</Lines>
  <Paragraphs>45</Paragraphs>
  <ScaleCrop>false</ScaleCrop>
  <Company>King's College London</Company>
  <LinksUpToDate>false</LinksUpToDate>
  <CharactersWithSpaces>22764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Ewing</dc:creator>
  <cp:keywords/>
  <dc:description/>
  <cp:lastModifiedBy>Keith Ewing</cp:lastModifiedBy>
  <cp:revision>115</cp:revision>
  <cp:lastPrinted>2016-02-08T19:41:00Z</cp:lastPrinted>
  <dcterms:created xsi:type="dcterms:W3CDTF">2016-01-18T17:05:00Z</dcterms:created>
  <dcterms:modified xsi:type="dcterms:W3CDTF">2016-02-08T22:20:00Z</dcterms:modified>
</cp:coreProperties>
</file>